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A3" w:rsidRDefault="00CE03B5">
      <w:pPr>
        <w:pStyle w:val="Gvdemetni0"/>
        <w:shd w:val="clear" w:color="auto" w:fill="auto"/>
        <w:ind w:left="760"/>
      </w:pPr>
      <w:bookmarkStart w:id="0" w:name="_GoBack"/>
      <w:bookmarkEnd w:id="0"/>
      <w:r>
        <w:t>T.C.</w:t>
      </w:r>
    </w:p>
    <w:p w:rsidR="00557AA3" w:rsidRDefault="00CE03B5">
      <w:pPr>
        <w:pStyle w:val="Gvdemetni0"/>
        <w:shd w:val="clear" w:color="auto" w:fill="auto"/>
        <w:ind w:left="80" w:right="400"/>
        <w:sectPr w:rsidR="00557AA3">
          <w:type w:val="continuous"/>
          <w:pgSz w:w="11905" w:h="16837"/>
          <w:pgMar w:top="1555" w:right="4769" w:bottom="7094" w:left="4894" w:header="0" w:footer="3" w:gutter="0"/>
          <w:cols w:space="720"/>
          <w:noEndnote/>
          <w:docGrid w:linePitch="360"/>
        </w:sectPr>
      </w:pPr>
      <w:r>
        <w:t>BAŞBAKANLIK Hazine Müsteşarlığı</w:t>
      </w:r>
    </w:p>
    <w:p w:rsidR="00557AA3" w:rsidRDefault="00557AA3">
      <w:pPr>
        <w:framePr w:w="11213" w:h="680" w:hRule="exact" w:wrap="notBeside" w:vAnchor="text" w:hAnchor="text" w:xAlign="center" w:y="1" w:anchorLock="1"/>
      </w:pPr>
    </w:p>
    <w:p w:rsidR="00557AA3" w:rsidRDefault="00CE03B5">
      <w:pPr>
        <w:rPr>
          <w:sz w:val="2"/>
          <w:szCs w:val="2"/>
        </w:rPr>
        <w:sectPr w:rsidR="00557AA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57AA3" w:rsidRDefault="00CE03B5">
      <w:pPr>
        <w:pStyle w:val="Gvdemetni0"/>
        <w:shd w:val="clear" w:color="auto" w:fill="auto"/>
        <w:spacing w:after="526" w:line="360" w:lineRule="exact"/>
        <w:ind w:left="40" w:right="920"/>
      </w:pPr>
      <w:proofErr w:type="gramStart"/>
      <w:r>
        <w:lastRenderedPageBreak/>
        <w:t>Sayı : 38681552</w:t>
      </w:r>
      <w:proofErr w:type="gramEnd"/>
      <w:r>
        <w:t>-306.99/ Konu : HESAP AÇILMASI HK.</w:t>
      </w:r>
    </w:p>
    <w:p w:rsidR="00557AA3" w:rsidRDefault="00CE03B5">
      <w:pPr>
        <w:pStyle w:val="Gvdemetni0"/>
        <w:shd w:val="clear" w:color="auto" w:fill="auto"/>
        <w:spacing w:line="302" w:lineRule="exact"/>
        <w:ind w:left="40" w:right="340" w:firstLine="700"/>
      </w:pPr>
      <w:r>
        <w:t>TÜRKİYE SİGORTA REASÜRANS VE EMEKLİLİK ŞİRKETLERİ BİRLİĞİ NE BÜYÜKDERE CAD. BÜYÜKDERE PLAZA NO: 195 KAT:1-2 34394 LEVENT / İSTANBUL</w:t>
      </w:r>
    </w:p>
    <w:p w:rsidR="00557AA3" w:rsidRDefault="00CE03B5">
      <w:pPr>
        <w:pStyle w:val="Gvdemetni0"/>
        <w:shd w:val="clear" w:color="auto" w:fill="auto"/>
        <w:spacing w:after="2" w:line="250" w:lineRule="exact"/>
        <w:ind w:left="3980"/>
      </w:pPr>
      <w:proofErr w:type="gramStart"/>
      <w:r>
        <w:t>o</w:t>
      </w:r>
      <w:proofErr w:type="gramEnd"/>
    </w:p>
    <w:p w:rsidR="00557AA3" w:rsidRDefault="00CE03B5">
      <w:pPr>
        <w:pStyle w:val="Gvdemetni0"/>
        <w:shd w:val="clear" w:color="auto" w:fill="auto"/>
        <w:spacing w:after="586" w:line="250" w:lineRule="exact"/>
        <w:ind w:left="40"/>
        <w:jc w:val="both"/>
      </w:pPr>
      <w:proofErr w:type="gramStart"/>
      <w:r>
        <w:t>İlgi : 15</w:t>
      </w:r>
      <w:proofErr w:type="gramEnd"/>
      <w:r>
        <w:t xml:space="preserve">.01.2015 tarihli 109 sayılı </w:t>
      </w:r>
      <w:proofErr w:type="spellStart"/>
      <w:r>
        <w:t>yazmız</w:t>
      </w:r>
      <w:proofErr w:type="spellEnd"/>
      <w:r>
        <w:t>.</w:t>
      </w:r>
    </w:p>
    <w:p w:rsidR="00557AA3" w:rsidRDefault="00CE03B5">
      <w:pPr>
        <w:pStyle w:val="Gvdemetni0"/>
        <w:shd w:val="clear" w:color="auto" w:fill="auto"/>
        <w:spacing w:after="270" w:line="288" w:lineRule="exact"/>
        <w:ind w:left="40" w:right="340" w:firstLine="700"/>
      </w:pPr>
      <w:r>
        <w:t>Sigortacılık Hesap Planında açılan yeni alt hesaplara ilişkin 30.01.2015 tari</w:t>
      </w:r>
      <w:r>
        <w:t>hli ve 2015/5 sayılı Sektör Duyurusunun bir örneği ekte gönderilmektedir.</w:t>
      </w:r>
    </w:p>
    <w:p w:rsidR="00557AA3" w:rsidRDefault="00CE03B5">
      <w:pPr>
        <w:jc w:val="center"/>
        <w:rPr>
          <w:sz w:val="0"/>
          <w:szCs w:val="0"/>
        </w:rPr>
      </w:pPr>
      <w:r>
        <w:rPr>
          <w:noProof/>
          <w:lang w:val="tr-TR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3489960</wp:posOffset>
            </wp:positionH>
            <wp:positionV relativeFrom="paragraph">
              <wp:posOffset>6350</wp:posOffset>
            </wp:positionV>
            <wp:extent cx="1981200" cy="1273810"/>
            <wp:effectExtent l="0" t="0" r="0" b="0"/>
            <wp:wrapTight wrapText="bothSides">
              <wp:wrapPolygon edited="1">
                <wp:start x="10100" y="0"/>
                <wp:lineTo x="21600" y="0"/>
                <wp:lineTo x="21600" y="14051"/>
                <wp:lineTo x="13292" y="14051"/>
                <wp:lineTo x="13292" y="15085"/>
                <wp:lineTo x="7047" y="15085"/>
                <wp:lineTo x="7047" y="16636"/>
                <wp:lineTo x="4320" y="16636"/>
                <wp:lineTo x="4320" y="17669"/>
                <wp:lineTo x="3856" y="17669"/>
                <wp:lineTo x="3856" y="21600"/>
                <wp:lineTo x="0" y="21600"/>
                <wp:lineTo x="0" y="3198"/>
                <wp:lineTo x="10100" y="3198"/>
                <wp:lineTo x="1010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AA3" w:rsidRDefault="00CE03B5">
      <w:pPr>
        <w:pStyle w:val="Gvdemetni0"/>
        <w:shd w:val="clear" w:color="auto" w:fill="auto"/>
        <w:spacing w:after="1104" w:line="250" w:lineRule="exact"/>
        <w:ind w:left="40"/>
        <w:jc w:val="both"/>
      </w:pPr>
      <w:r>
        <w:t>Bilgi edinilmesini ve gereğini rica ederim.</w:t>
      </w:r>
    </w:p>
    <w:p w:rsidR="00557AA3" w:rsidRDefault="00CE03B5">
      <w:pPr>
        <w:pStyle w:val="Gvdemetni0"/>
        <w:shd w:val="clear" w:color="auto" w:fill="auto"/>
        <w:spacing w:line="298" w:lineRule="exact"/>
        <w:ind w:left="40"/>
        <w:jc w:val="both"/>
      </w:pPr>
      <w:r>
        <w:t xml:space="preserve">Müsteşara. </w:t>
      </w:r>
      <w:proofErr w:type="gramStart"/>
      <w:r>
        <w:rPr>
          <w:vertAlign w:val="subscript"/>
        </w:rPr>
        <w:t>f</w:t>
      </w:r>
      <w:proofErr w:type="gramEnd"/>
      <w:r>
        <w:rPr>
          <w:vertAlign w:val="subscript"/>
        </w:rPr>
        <w:t xml:space="preserve"> </w:t>
      </w:r>
      <w:r>
        <w:t>Genel Müdür Yrd.</w:t>
      </w:r>
    </w:p>
    <w:p w:rsidR="00557AA3" w:rsidRDefault="00CE03B5">
      <w:pPr>
        <w:pStyle w:val="Gvdemetni0"/>
        <w:shd w:val="clear" w:color="auto" w:fill="auto"/>
        <w:spacing w:after="52" w:line="240" w:lineRule="exact"/>
        <w:ind w:left="40"/>
        <w:jc w:val="both"/>
      </w:pPr>
      <w:r>
        <w:t xml:space="preserve">/ </w:t>
      </w:r>
      <w:proofErr w:type="gramStart"/>
      <w:r>
        <w:t>EK :</w:t>
      </w:r>
      <w:proofErr w:type="gramEnd"/>
    </w:p>
    <w:p w:rsidR="00557AA3" w:rsidRDefault="00CE03B5">
      <w:pPr>
        <w:pStyle w:val="Gvdemetni0"/>
        <w:shd w:val="clear" w:color="auto" w:fill="auto"/>
        <w:spacing w:line="250" w:lineRule="exact"/>
        <w:ind w:left="40"/>
        <w:jc w:val="both"/>
      </w:pPr>
      <w:r>
        <w:t>Sektör Duyurusu</w:t>
      </w:r>
      <w:r>
        <w:br w:type="page"/>
      </w:r>
    </w:p>
    <w:p w:rsidR="00557AA3" w:rsidRDefault="00CE03B5">
      <w:pPr>
        <w:pStyle w:val="Gvdemetni0"/>
        <w:shd w:val="clear" w:color="auto" w:fill="auto"/>
        <w:spacing w:after="681" w:line="250" w:lineRule="exact"/>
        <w:ind w:left="20"/>
      </w:pPr>
      <w:r>
        <w:lastRenderedPageBreak/>
        <w:t xml:space="preserve">Hazine </w:t>
      </w:r>
      <w:proofErr w:type="spellStart"/>
      <w:r>
        <w:t>Mffistteşartağııadlam</w:t>
      </w:r>
      <w:proofErr w:type="spellEnd"/>
      <w:r>
        <w:t>:</w:t>
      </w:r>
    </w:p>
    <w:p w:rsidR="00557AA3" w:rsidRDefault="00CE03B5">
      <w:pPr>
        <w:pStyle w:val="Gvdemetni0"/>
        <w:shd w:val="clear" w:color="auto" w:fill="auto"/>
        <w:spacing w:after="449" w:line="274" w:lineRule="exact"/>
        <w:ind w:left="80"/>
        <w:jc w:val="center"/>
      </w:pPr>
      <w:r>
        <w:t>SİGORTACILIK HESAP PLANINDA YENİ ALT HESAP AÇILMASINA BAM SEKTÖM ©UYUMUŞU (2015/5)</w:t>
      </w:r>
    </w:p>
    <w:p w:rsidR="00557AA3" w:rsidRDefault="00CE03B5">
      <w:pPr>
        <w:pStyle w:val="Gvdemetni0"/>
        <w:framePr w:h="250" w:wrap="around" w:hAnchor="margin" w:x="7756" w:y="-110"/>
        <w:shd w:val="clear" w:color="auto" w:fill="auto"/>
        <w:spacing w:line="250" w:lineRule="exact"/>
        <w:ind w:left="100"/>
      </w:pPr>
      <w:r>
        <w:t>30.01.2015</w:t>
      </w:r>
    </w:p>
    <w:p w:rsidR="00557AA3" w:rsidRDefault="00CE03B5">
      <w:pPr>
        <w:pStyle w:val="Gvdemetni0"/>
        <w:shd w:val="clear" w:color="auto" w:fill="auto"/>
        <w:spacing w:after="180" w:line="312" w:lineRule="exact"/>
        <w:ind w:left="20" w:right="80" w:firstLine="720"/>
        <w:jc w:val="both"/>
      </w:pPr>
      <w:r>
        <w:t>01/10/2014 tarihli ve 29136 sayılı Resmi Gazetede yayımlanan Sigorta Branşlarına İlişkin Tebliğ (Tebliğ No: 2007/l)*de Değişiklik Yapılmasına Dair Tebliğ ve sonrasında çıkarılan 2015/3 sayılı Kefalet ve Tek Risk Sigortalarına İlişkin Genelge ile yapılan de</w:t>
      </w:r>
      <w:r>
        <w:t xml:space="preserve">ğişiklikler doğrultusunda sigortacılık hesap planında da değişiklik yapılması ihtiyacı </w:t>
      </w:r>
      <w:proofErr w:type="gramStart"/>
      <w:r>
        <w:t>hasıl</w:t>
      </w:r>
      <w:proofErr w:type="gramEnd"/>
      <w:r>
        <w:t xml:space="preserve"> olmuştur.</w:t>
      </w:r>
    </w:p>
    <w:p w:rsidR="00557AA3" w:rsidRDefault="00CE03B5">
      <w:pPr>
        <w:pStyle w:val="Gvdemetni0"/>
        <w:shd w:val="clear" w:color="auto" w:fill="auto"/>
        <w:spacing w:after="658" w:line="312" w:lineRule="exact"/>
        <w:ind w:left="20" w:right="80" w:firstLine="720"/>
        <w:jc w:val="both"/>
      </w:pPr>
      <w:r>
        <w:t xml:space="preserve">Bu kapsamda, sigortacılık hesap planında "736 Emniyeti </w:t>
      </w:r>
      <w:proofErr w:type="spellStart"/>
      <w:r>
        <w:t>Suistimal</w:t>
      </w:r>
      <w:proofErr w:type="spellEnd"/>
      <w:r>
        <w:t xml:space="preserve">" hesabının adı '736 Doğrudan Kefalet" olarak değiştirilmiş, '706 Dolaylı </w:t>
      </w:r>
      <w:proofErr w:type="spellStart"/>
      <w:r>
        <w:t>Kefelet</w:t>
      </w:r>
      <w:proofErr w:type="spellEnd"/>
      <w:r>
        <w:t>" hesabı</w:t>
      </w:r>
      <w:r>
        <w:t xml:space="preserve"> eklenmiş ve Sigortacılık Hesap Planında aşağıdaki değişiklikler yapılmıştır.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7757"/>
      </w:tblGrid>
      <w:tr w:rsidR="00557AA3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CE03B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lastRenderedPageBreak/>
              <w:t>736.01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CE03B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Doğrudan </w:t>
            </w:r>
            <w:proofErr w:type="spellStart"/>
            <w:r>
              <w:t>Kefelet</w:t>
            </w:r>
            <w:proofErr w:type="spellEnd"/>
            <w:r>
              <w:t xml:space="preserve"> Teknik Gelir</w:t>
            </w:r>
          </w:p>
        </w:tc>
      </w:tr>
      <w:tr w:rsidR="00557AA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CE03B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736.01.1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CE03B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Yazılan Primler (</w:t>
            </w:r>
            <w:proofErr w:type="spellStart"/>
            <w:r>
              <w:t>Reasürör</w:t>
            </w:r>
            <w:proofErr w:type="spellEnd"/>
            <w:r>
              <w:t xml:space="preserve"> Payı Düşülmüş Olarak)</w:t>
            </w:r>
          </w:p>
        </w:tc>
      </w:tr>
      <w:tr w:rsidR="00557AA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CE03B5">
            <w:pPr>
              <w:pStyle w:val="Gvdemetni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■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557A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7AA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CE03B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736.02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CE03B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Doğrudan Kefalet Teknik Gider (-)</w:t>
            </w:r>
          </w:p>
        </w:tc>
      </w:tr>
      <w:tr w:rsidR="00557AA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CE03B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736.02.1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CE03B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Ödenen Hasarlar (</w:t>
            </w:r>
            <w:proofErr w:type="spellStart"/>
            <w:r>
              <w:t>Reasürör</w:t>
            </w:r>
            <w:proofErr w:type="spellEnd"/>
            <w:r>
              <w:t xml:space="preserve"> Payı Düşülmüş Olarak)</w:t>
            </w:r>
          </w:p>
        </w:tc>
      </w:tr>
      <w:tr w:rsidR="00557AA3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CE03B5">
            <w:pPr>
              <w:pStyle w:val="Gvdemetni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•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557A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7AA3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91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7AA3" w:rsidRDefault="00557A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7AA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CE03B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706.01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CE03B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Dolaylı Kefalet Teknik Gelir</w:t>
            </w:r>
          </w:p>
        </w:tc>
      </w:tr>
      <w:tr w:rsidR="00557AA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CE03B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706.01.1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CE03B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Yazılan Primler (</w:t>
            </w:r>
            <w:proofErr w:type="spellStart"/>
            <w:r>
              <w:t>Reasürör</w:t>
            </w:r>
            <w:proofErr w:type="spellEnd"/>
            <w:r>
              <w:t xml:space="preserve"> Payı Düşülmüş Olarak)</w:t>
            </w:r>
          </w:p>
        </w:tc>
      </w:tr>
      <w:tr w:rsidR="00557AA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CE03B5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•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557A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7AA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CE03B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706.02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CE03B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Dolaylı Kefalet Teknik Gider (-)</w:t>
            </w:r>
          </w:p>
        </w:tc>
      </w:tr>
      <w:tr w:rsidR="00557AA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CE03B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706.02.1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CE03B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gramStart"/>
            <w:r>
              <w:t>ödenen</w:t>
            </w:r>
            <w:proofErr w:type="gramEnd"/>
            <w:r>
              <w:t xml:space="preserve"> Hasarlar (</w:t>
            </w:r>
            <w:proofErr w:type="spellStart"/>
            <w:r>
              <w:t>Reasürör</w:t>
            </w:r>
            <w:proofErr w:type="spellEnd"/>
            <w:r>
              <w:t xml:space="preserve"> Payı Düşülmüş Olarak)</w:t>
            </w:r>
          </w:p>
        </w:tc>
      </w:tr>
      <w:tr w:rsidR="00557AA3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CE03B5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•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A3" w:rsidRDefault="00557A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7AA3" w:rsidRDefault="00557AA3">
      <w:pPr>
        <w:rPr>
          <w:sz w:val="2"/>
          <w:szCs w:val="2"/>
        </w:rPr>
      </w:pPr>
    </w:p>
    <w:p w:rsidR="00557AA3" w:rsidRDefault="00CE03B5">
      <w:pPr>
        <w:pStyle w:val="Gvdemetni0"/>
        <w:shd w:val="clear" w:color="auto" w:fill="auto"/>
        <w:spacing w:before="422" w:line="312" w:lineRule="exact"/>
        <w:ind w:left="20" w:right="80" w:firstLine="720"/>
        <w:jc w:val="both"/>
      </w:pPr>
      <w:r>
        <w:t xml:space="preserve">Söz konusu değişiklikler </w:t>
      </w:r>
      <w:proofErr w:type="gramStart"/>
      <w:r>
        <w:t>01/01/2015</w:t>
      </w:r>
      <w:proofErr w:type="gramEnd"/>
      <w:r>
        <w:t xml:space="preserve"> tarihinden </w:t>
      </w:r>
      <w:proofErr w:type="spellStart"/>
      <w:r>
        <w:t>itibaTen</w:t>
      </w:r>
      <w:proofErr w:type="spellEnd"/>
      <w:r>
        <w:t xml:space="preserve"> geçerli olup, 2014/33 sayılı Sektör Duyurusu yürürlükten kaldırılmıştır.</w:t>
      </w:r>
    </w:p>
    <w:sectPr w:rsidR="00557AA3">
      <w:type w:val="continuous"/>
      <w:pgSz w:w="11905" w:h="16837"/>
      <w:pgMar w:top="1368" w:right="614" w:bottom="8256" w:left="18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B5" w:rsidRDefault="00CE03B5">
      <w:r>
        <w:separator/>
      </w:r>
    </w:p>
  </w:endnote>
  <w:endnote w:type="continuationSeparator" w:id="0">
    <w:p w:rsidR="00CE03B5" w:rsidRDefault="00CE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B5" w:rsidRDefault="00CE03B5"/>
  </w:footnote>
  <w:footnote w:type="continuationSeparator" w:id="0">
    <w:p w:rsidR="00CE03B5" w:rsidRDefault="00CE03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A3"/>
    <w:rsid w:val="00557AA3"/>
    <w:rsid w:val="0063664B"/>
    <w:rsid w:val="00C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Gvdemetni5">
    <w:name w:val="Gövde metni (5)_"/>
    <w:basedOn w:val="VarsaylanParagrafYazTipi"/>
    <w:link w:val="Gvdemetn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3">
    <w:name w:val="Gövde metni (3)_"/>
    <w:basedOn w:val="VarsaylanParagrafYazTipi"/>
    <w:link w:val="Gvdemetni3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Gvdemetni2">
    <w:name w:val="Gövde metni (2)_"/>
    <w:basedOn w:val="VarsaylanParagrafYazTipi"/>
    <w:link w:val="Gvdemetni2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0" w:lineRule="atLeast"/>
    </w:pPr>
    <w:rPr>
      <w:rFonts w:ascii="Consolas" w:eastAsia="Consolas" w:hAnsi="Consolas" w:cs="Consolas"/>
      <w:sz w:val="9"/>
      <w:szCs w:val="9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Consolas" w:eastAsia="Consolas" w:hAnsi="Consolas" w:cs="Consolas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Gvdemetni5">
    <w:name w:val="Gövde metni (5)_"/>
    <w:basedOn w:val="VarsaylanParagrafYazTipi"/>
    <w:link w:val="Gvdemetn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3">
    <w:name w:val="Gövde metni (3)_"/>
    <w:basedOn w:val="VarsaylanParagrafYazTipi"/>
    <w:link w:val="Gvdemetni3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Gvdemetni2">
    <w:name w:val="Gövde metni (2)_"/>
    <w:basedOn w:val="VarsaylanParagrafYazTipi"/>
    <w:link w:val="Gvdemetni2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0" w:lineRule="atLeast"/>
    </w:pPr>
    <w:rPr>
      <w:rFonts w:ascii="Consolas" w:eastAsia="Consolas" w:hAnsi="Consolas" w:cs="Consolas"/>
      <w:sz w:val="9"/>
      <w:szCs w:val="9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Consolas" w:eastAsia="Consolas" w:hAnsi="Consolas" w:cs="Consolas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mehmetgokhan</dc:creator>
  <cp:lastModifiedBy>mehmetgokhan</cp:lastModifiedBy>
  <cp:revision>1</cp:revision>
  <dcterms:created xsi:type="dcterms:W3CDTF">2015-10-05T11:30:00Z</dcterms:created>
  <dcterms:modified xsi:type="dcterms:W3CDTF">2015-10-05T11:30:00Z</dcterms:modified>
</cp:coreProperties>
</file>