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118" w:rsidRDefault="009E1D3F">
      <w:pPr>
        <w:pStyle w:val="Gvdemetni0"/>
        <w:shd w:val="clear" w:color="auto" w:fill="auto"/>
        <w:ind w:left="4400"/>
      </w:pPr>
      <w:bookmarkStart w:id="0" w:name="_GoBack"/>
      <w:bookmarkEnd w:id="0"/>
      <w:r>
        <w:t>T.C.</w:t>
      </w:r>
    </w:p>
    <w:p w:rsidR="00353118" w:rsidRDefault="009E1D3F">
      <w:pPr>
        <w:pStyle w:val="Gvdemetni0"/>
        <w:shd w:val="clear" w:color="auto" w:fill="auto"/>
        <w:spacing w:after="373"/>
        <w:ind w:left="3740" w:right="3900"/>
        <w:jc w:val="right"/>
      </w:pPr>
      <w:r>
        <w:t>BAŞBAKANLIK Hazine Müsteşarlığı</w:t>
      </w:r>
    </w:p>
    <w:p w:rsidR="00353118" w:rsidRDefault="009E1D3F">
      <w:pPr>
        <w:pStyle w:val="Gvdemetni0"/>
        <w:shd w:val="clear" w:color="auto" w:fill="auto"/>
        <w:tabs>
          <w:tab w:val="left" w:pos="7955"/>
        </w:tabs>
        <w:spacing w:line="360" w:lineRule="exact"/>
        <w:ind w:left="40"/>
      </w:pPr>
      <w:proofErr w:type="gramStart"/>
      <w:r>
        <w:t>Sayı : 97558423</w:t>
      </w:r>
      <w:proofErr w:type="gramEnd"/>
      <w:r>
        <w:t>-349/E.28946</w:t>
      </w:r>
      <w:r>
        <w:tab/>
        <w:t>30.09.2015</w:t>
      </w:r>
    </w:p>
    <w:p w:rsidR="00353118" w:rsidRDefault="009E1D3F">
      <w:pPr>
        <w:pStyle w:val="Gvdemetni0"/>
        <w:shd w:val="clear" w:color="auto" w:fill="auto"/>
        <w:spacing w:after="530" w:line="360" w:lineRule="exact"/>
        <w:ind w:left="40"/>
      </w:pPr>
      <w:proofErr w:type="gramStart"/>
      <w:r>
        <w:t>Konu : Sektör</w:t>
      </w:r>
      <w:proofErr w:type="gramEnd"/>
      <w:r>
        <w:t xml:space="preserve"> Duyurusu</w:t>
      </w:r>
    </w:p>
    <w:p w:rsidR="00353118" w:rsidRDefault="009E1D3F">
      <w:pPr>
        <w:pStyle w:val="Gvdemetni0"/>
        <w:framePr w:w="1699" w:h="1220" w:wrap="around" w:vAnchor="text" w:hAnchor="margin" w:x="7557" w:y="2771"/>
        <w:shd w:val="clear" w:color="auto" w:fill="auto"/>
        <w:spacing w:after="58" w:line="210" w:lineRule="exact"/>
        <w:ind w:left="520"/>
      </w:pPr>
      <w:proofErr w:type="gramStart"/>
      <w:r>
        <w:rPr>
          <w:rStyle w:val="Gvdemetni1"/>
        </w:rPr>
        <w:t>e</w:t>
      </w:r>
      <w:proofErr w:type="gramEnd"/>
      <w:r>
        <w:rPr>
          <w:rStyle w:val="Gvdemetni1"/>
        </w:rPr>
        <w:t>-imzalıdır</w:t>
      </w:r>
    </w:p>
    <w:p w:rsidR="00353118" w:rsidRDefault="009E1D3F">
      <w:pPr>
        <w:pStyle w:val="Gvdemetni0"/>
        <w:framePr w:w="1699" w:h="1220" w:wrap="around" w:vAnchor="text" w:hAnchor="margin" w:x="7557" w:y="2771"/>
        <w:shd w:val="clear" w:color="auto" w:fill="auto"/>
        <w:spacing w:line="298" w:lineRule="exact"/>
        <w:ind w:left="180"/>
        <w:jc w:val="both"/>
      </w:pPr>
      <w:r>
        <w:t>Murat KAYACI</w:t>
      </w:r>
    </w:p>
    <w:p w:rsidR="00353118" w:rsidRDefault="009E1D3F">
      <w:pPr>
        <w:pStyle w:val="Gvdemetni0"/>
        <w:framePr w:w="1699" w:h="1220" w:wrap="around" w:vAnchor="text" w:hAnchor="margin" w:x="7557" w:y="2771"/>
        <w:shd w:val="clear" w:color="auto" w:fill="auto"/>
        <w:spacing w:line="298" w:lineRule="exact"/>
        <w:ind w:left="180" w:right="200"/>
        <w:jc w:val="both"/>
      </w:pPr>
      <w:r>
        <w:t>Müsteşar a. Genel Müdür V.</w:t>
      </w:r>
    </w:p>
    <w:p w:rsidR="00353118" w:rsidRDefault="009E1D3F">
      <w:pPr>
        <w:pStyle w:val="Gvdemetni0"/>
        <w:shd w:val="clear" w:color="auto" w:fill="auto"/>
        <w:spacing w:after="473" w:line="298" w:lineRule="exact"/>
        <w:ind w:left="800" w:right="1060"/>
        <w:jc w:val="right"/>
      </w:pPr>
      <w:r>
        <w:t>TÜRKİYE SİGORTA REASÜRANS VE EMEKLİLİK ŞİRKETLERİ BİRLİĞİ Büyükdere Caddesi, Büyükdere Plaza, No: 195. Kat: 1-2 34394 Levent İSTANBUL</w:t>
      </w:r>
    </w:p>
    <w:p w:rsidR="00353118" w:rsidRDefault="009E1D3F">
      <w:pPr>
        <w:pStyle w:val="Gvdemetni0"/>
        <w:shd w:val="clear" w:color="auto" w:fill="auto"/>
        <w:spacing w:after="318" w:line="307" w:lineRule="exact"/>
        <w:ind w:left="40" w:right="300" w:firstLine="760"/>
      </w:pPr>
      <w:r>
        <w:t xml:space="preserve">Müsteşarlığımızca istihsal edilen </w:t>
      </w:r>
      <w:proofErr w:type="gramStart"/>
      <w:r>
        <w:t>29/9/2015</w:t>
      </w:r>
      <w:proofErr w:type="gramEnd"/>
      <w:r>
        <w:t xml:space="preserve"> tarihli ve 2015/35 sayılı Sektör Duyurusu ilişikte yer almaktadır.</w:t>
      </w:r>
    </w:p>
    <w:p w:rsidR="00353118" w:rsidRDefault="009E1D3F">
      <w:pPr>
        <w:pStyle w:val="Gvdemetni0"/>
        <w:shd w:val="clear" w:color="auto" w:fill="auto"/>
        <w:spacing w:after="1573" w:line="210" w:lineRule="exact"/>
        <w:ind w:left="40" w:firstLine="760"/>
      </w:pPr>
      <w:r>
        <w:t>Bilgilerini</w:t>
      </w:r>
      <w:r>
        <w:t xml:space="preserve"> ve gereğini rica ederim.</w:t>
      </w:r>
    </w:p>
    <w:p w:rsidR="00353118" w:rsidRDefault="009E1D3F">
      <w:pPr>
        <w:pStyle w:val="Gvdemetni0"/>
        <w:shd w:val="clear" w:color="auto" w:fill="auto"/>
        <w:spacing w:after="6527" w:line="210" w:lineRule="exact"/>
        <w:ind w:left="40"/>
      </w:pPr>
      <w:proofErr w:type="gramStart"/>
      <w:r>
        <w:t>Ek : 29</w:t>
      </w:r>
      <w:proofErr w:type="gramEnd"/>
      <w:r>
        <w:t>/9/2015 tarihli ve 2015/35 sayılı Sektör Duyurusu (1 sayfa)</w:t>
      </w:r>
    </w:p>
    <w:p w:rsidR="00353118" w:rsidRDefault="009E1D3F">
      <w:pPr>
        <w:pStyle w:val="Gvdemetni20"/>
        <w:shd w:val="clear" w:color="auto" w:fill="auto"/>
        <w:spacing w:before="0" w:after="211" w:line="150" w:lineRule="exact"/>
        <w:ind w:left="1240"/>
      </w:pPr>
      <w:r>
        <w:rPr>
          <w:rStyle w:val="Gvdemetni21"/>
        </w:rPr>
        <w:lastRenderedPageBreak/>
        <w:t>Not: 5070 sayılı Elektronik İmza Kanunu çerçevesinde güvenli elektronik imzalı aslı ile aynıdır.</w:t>
      </w:r>
    </w:p>
    <w:p w:rsidR="00353118" w:rsidRDefault="009E1D3F">
      <w:pPr>
        <w:pStyle w:val="Gvdemetni20"/>
        <w:shd w:val="clear" w:color="auto" w:fill="auto"/>
        <w:tabs>
          <w:tab w:val="left" w:pos="6477"/>
        </w:tabs>
        <w:spacing w:before="0" w:after="0" w:line="173" w:lineRule="exact"/>
        <w:ind w:left="40"/>
      </w:pPr>
      <w:r>
        <w:t xml:space="preserve">T.C. Başbakanlık Hazine Müsteşarlığı, İnönü Bulvarı, No:36 06510, </w:t>
      </w:r>
      <w:r>
        <w:t>Emek,</w:t>
      </w:r>
      <w:r>
        <w:tab/>
        <w:t xml:space="preserve">Bilgi </w:t>
      </w:r>
      <w:proofErr w:type="spellStart"/>
      <w:proofErr w:type="gramStart"/>
      <w:r>
        <w:t>için:ETHEM</w:t>
      </w:r>
      <w:proofErr w:type="spellEnd"/>
      <w:proofErr w:type="gramEnd"/>
      <w:r>
        <w:t xml:space="preserve"> ERDEM ORMAN</w:t>
      </w:r>
    </w:p>
    <w:p w:rsidR="00353118" w:rsidRDefault="009E1D3F">
      <w:pPr>
        <w:pStyle w:val="Gvdemetni20"/>
        <w:shd w:val="clear" w:color="auto" w:fill="auto"/>
        <w:tabs>
          <w:tab w:val="left" w:pos="7250"/>
        </w:tabs>
        <w:spacing w:before="0" w:after="0" w:line="173" w:lineRule="exact"/>
        <w:ind w:left="40"/>
      </w:pPr>
      <w:r>
        <w:t>ÇANKAYA/ANKARA</w:t>
      </w:r>
      <w:r>
        <w:tab/>
        <w:t>Hazine Uzman Yardımcısı</w:t>
      </w:r>
    </w:p>
    <w:p w:rsidR="00353118" w:rsidRDefault="009E1D3F">
      <w:pPr>
        <w:pStyle w:val="Gvdemetni20"/>
        <w:shd w:val="clear" w:color="auto" w:fill="auto"/>
        <w:spacing w:before="0" w:after="0" w:line="173" w:lineRule="exact"/>
        <w:ind w:left="40" w:right="300"/>
      </w:pPr>
      <w:r>
        <w:t xml:space="preserve">Telefon No: +90 (312) 204 6000 Belge Geçer No: +90 (312) 204 6644 e-posta: </w:t>
      </w:r>
      <w:hyperlink r:id="rId7" w:history="1">
        <w:r>
          <w:rPr>
            <w:rStyle w:val="Kpr"/>
            <w:lang w:val="en-US"/>
          </w:rPr>
          <w:t>bilgiedinme@hazine.gov.tr</w:t>
        </w:r>
      </w:hyperlink>
      <w:r>
        <w:rPr>
          <w:lang w:val="en-US"/>
        </w:rPr>
        <w:t xml:space="preserve"> </w:t>
      </w:r>
      <w:r>
        <w:t xml:space="preserve">internet adresi: </w:t>
      </w:r>
      <w:hyperlink r:id="rId8" w:history="1">
        <w:r>
          <w:rPr>
            <w:rStyle w:val="Kpr"/>
            <w:lang w:val="en-US"/>
          </w:rPr>
          <w:t>www.hazine.gov.tr</w:t>
        </w:r>
      </w:hyperlink>
      <w:r>
        <w:br w:type="page"/>
      </w:r>
    </w:p>
    <w:p w:rsidR="00353118" w:rsidRDefault="009E1D3F">
      <w:pPr>
        <w:pStyle w:val="Balk10"/>
        <w:keepNext/>
        <w:keepLines/>
        <w:shd w:val="clear" w:color="auto" w:fill="auto"/>
        <w:spacing w:after="796" w:line="220" w:lineRule="exact"/>
        <w:ind w:left="20"/>
      </w:pPr>
      <w:bookmarkStart w:id="1" w:name="bookmark0"/>
      <w:r>
        <w:rPr>
          <w:rStyle w:val="Balk11"/>
        </w:rPr>
        <w:lastRenderedPageBreak/>
        <w:t>Hazine Müsteşarlığından;</w:t>
      </w:r>
      <w:bookmarkEnd w:id="1"/>
    </w:p>
    <w:p w:rsidR="00353118" w:rsidRDefault="009E1D3F">
      <w:pPr>
        <w:pStyle w:val="Balk10"/>
        <w:keepNext/>
        <w:keepLines/>
        <w:shd w:val="clear" w:color="auto" w:fill="auto"/>
        <w:spacing w:after="0" w:line="408" w:lineRule="exact"/>
        <w:jc w:val="center"/>
      </w:pPr>
      <w:bookmarkStart w:id="2" w:name="bookmark1"/>
      <w:r>
        <w:t>YILLIK GELİR SİGORTALARINDA BİLGİ İŞLEM ALTYAPILARININ HAZIR HALE GETİRİLMESİNE İLİŞKİN</w:t>
      </w:r>
      <w:bookmarkEnd w:id="2"/>
    </w:p>
    <w:p w:rsidR="00353118" w:rsidRDefault="009E1D3F">
      <w:pPr>
        <w:pStyle w:val="Balk10"/>
        <w:keepNext/>
        <w:keepLines/>
        <w:shd w:val="clear" w:color="auto" w:fill="auto"/>
        <w:spacing w:after="784" w:line="413" w:lineRule="exact"/>
        <w:jc w:val="center"/>
      </w:pPr>
      <w:bookmarkStart w:id="3" w:name="bookmark2"/>
      <w:r>
        <w:t xml:space="preserve">SEKTÖR DUYURUSU </w:t>
      </w:r>
      <w:r>
        <w:rPr>
          <w:rStyle w:val="Balk12"/>
        </w:rPr>
        <w:t>(2015/35)</w:t>
      </w:r>
      <w:bookmarkEnd w:id="3"/>
    </w:p>
    <w:p w:rsidR="00353118" w:rsidRDefault="009E1D3F">
      <w:pPr>
        <w:pStyle w:val="Gvdemetni0"/>
        <w:shd w:val="clear" w:color="auto" w:fill="auto"/>
        <w:spacing w:line="408" w:lineRule="exact"/>
        <w:ind w:left="20" w:right="20" w:firstLine="700"/>
        <w:jc w:val="both"/>
      </w:pPr>
      <w:r>
        <w:t xml:space="preserve">Bilindiği üzere, </w:t>
      </w:r>
      <w:proofErr w:type="gramStart"/>
      <w:r>
        <w:t>1/4/2015</w:t>
      </w:r>
      <w:proofErr w:type="gramEnd"/>
      <w:r>
        <w:t xml:space="preserve"> tarihli ve 29313 sayılı Resmî </w:t>
      </w:r>
      <w:proofErr w:type="spellStart"/>
      <w:r>
        <w:t>Gazete'de</w:t>
      </w:r>
      <w:proofErr w:type="spellEnd"/>
      <w:r>
        <w:t xml:space="preserve"> yayı</w:t>
      </w:r>
      <w:r>
        <w:t xml:space="preserve">mlanarak, yayımı tarihinden altı ay sonra yürürlüğe girecek olan Yıllık Gelir Sigortaları Yönetmeliğinin </w:t>
      </w:r>
      <w:r>
        <w:rPr>
          <w:rStyle w:val="Gvdemetnitalik"/>
        </w:rPr>
        <w:t>"Sözleşme akdedebilecek şirketler"</w:t>
      </w:r>
      <w:r>
        <w:t xml:space="preserve"> başlıklı 4 üncü maddesinin birinci fıkrasında, yıllık gelir sigortası sözleşmesi akdetmek isteyen şirketlerin Müsteş</w:t>
      </w:r>
      <w:r>
        <w:t>arlığa yazılı olarak başvuracağı ve ikinci fıkrasında, Müsteşarlıkça yapılacak değerlendirme sonucu bilgi işlem altyapısı ile idari ve mali açıdan yeterli bulunan şirketlerin yıllık gelir sigortası sözleşmesi akdedebileceği hususları düzenlenmiş olup; 31/7</w:t>
      </w:r>
      <w:r>
        <w:t>/2015 tarihli ve 2015/30 sayılı Yıllık Gelir Sigortalan Yönetmeliğinin Bazı Maddelerinin Uygulama Esaslarına İlişkin Genelge ile Müsteşarlıkça yapılacak değerlendirmenin usul ve esasları düzenlenmiştir.</w:t>
      </w:r>
    </w:p>
    <w:p w:rsidR="00353118" w:rsidRDefault="009E1D3F">
      <w:pPr>
        <w:pStyle w:val="Gvdemetni0"/>
        <w:shd w:val="clear" w:color="auto" w:fill="auto"/>
        <w:spacing w:line="413" w:lineRule="exact"/>
        <w:ind w:left="20" w:right="20" w:firstLine="700"/>
        <w:jc w:val="both"/>
      </w:pPr>
      <w:r>
        <w:t>Ayrıca, Yönetmeliğin "</w:t>
      </w:r>
      <w:r>
        <w:rPr>
          <w:rStyle w:val="Gvdemetnitalik"/>
        </w:rPr>
        <w:t>Yükümlülüklerle uyumlu varlık b</w:t>
      </w:r>
      <w:r>
        <w:rPr>
          <w:rStyle w:val="Gvdemetnitalik"/>
        </w:rPr>
        <w:t>ulundurma"</w:t>
      </w:r>
      <w:r>
        <w:t xml:space="preserve"> başlıklı 7 </w:t>
      </w:r>
      <w:proofErr w:type="spellStart"/>
      <w:r>
        <w:t>nci</w:t>
      </w:r>
      <w:proofErr w:type="spellEnd"/>
      <w:r>
        <w:t xml:space="preserve"> maddesinin birinci fıkrası ile şirketlerin, yıllık gelir sigortası sözleşmelerine ilişkin yükümlülüklerini karşılamaya yeter düzeyde varlık bulundurma zorunluluğu hükme bağlanmıştır.</w:t>
      </w:r>
    </w:p>
    <w:p w:rsidR="00353118" w:rsidRDefault="009E1D3F">
      <w:pPr>
        <w:pStyle w:val="Gvdemetni30"/>
        <w:framePr w:h="220" w:wrap="around" w:hAnchor="margin" w:x="7984" w:y="1159"/>
        <w:shd w:val="clear" w:color="auto" w:fill="auto"/>
        <w:spacing w:line="220" w:lineRule="exact"/>
        <w:ind w:left="100"/>
      </w:pPr>
      <w:proofErr w:type="gramStart"/>
      <w:r>
        <w:t>29/9/2015</w:t>
      </w:r>
      <w:proofErr w:type="gramEnd"/>
    </w:p>
    <w:p w:rsidR="00353118" w:rsidRDefault="009E1D3F">
      <w:pPr>
        <w:pStyle w:val="Gvdemetni0"/>
        <w:shd w:val="clear" w:color="auto" w:fill="auto"/>
        <w:spacing w:line="413" w:lineRule="exact"/>
        <w:ind w:left="20" w:right="20" w:firstLine="700"/>
        <w:jc w:val="both"/>
      </w:pPr>
      <w:r>
        <w:t>Bu kapsamda, yıllık gelir sigortası s</w:t>
      </w:r>
      <w:r>
        <w:t>özleşmesi akdetmek için Müsteşarlığa yazılı olarak başvuracak şirketlerin, söz konusu ürünlere ilişkin gerek anılan Yönetmelik ve Genelge hükümlerinde yer alan esaslara gerekse bu ürünlere uygun ihraç edilecek Devlet tahvillerine yönelik bilgi işlem altyap</w:t>
      </w:r>
      <w:r>
        <w:t>ılarını hazır hale getirmeleri gerekmektedir.</w:t>
      </w:r>
    </w:p>
    <w:sectPr w:rsidR="00353118">
      <w:type w:val="continuous"/>
      <w:pgSz w:w="11905" w:h="16837"/>
      <w:pgMar w:top="1397" w:right="725" w:bottom="2578" w:left="180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D3F" w:rsidRDefault="009E1D3F">
      <w:r>
        <w:separator/>
      </w:r>
    </w:p>
  </w:endnote>
  <w:endnote w:type="continuationSeparator" w:id="0">
    <w:p w:rsidR="009E1D3F" w:rsidRDefault="009E1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D3F" w:rsidRDefault="009E1D3F"/>
  </w:footnote>
  <w:footnote w:type="continuationSeparator" w:id="0">
    <w:p w:rsidR="009E1D3F" w:rsidRDefault="009E1D3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118"/>
    <w:rsid w:val="00226E6A"/>
    <w:rsid w:val="00353118"/>
    <w:rsid w:val="009E1D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Gvdemetni">
    <w:name w:val="Gövde metni_"/>
    <w:basedOn w:val="VarsaylanParagrafYazTipi"/>
    <w:link w:val="Gvdemetni0"/>
    <w:rPr>
      <w:rFonts w:ascii="Times New Roman" w:eastAsia="Times New Roman" w:hAnsi="Times New Roman" w:cs="Times New Roman"/>
      <w:b w:val="0"/>
      <w:bCs w:val="0"/>
      <w:i w:val="0"/>
      <w:iCs w:val="0"/>
      <w:smallCaps w:val="0"/>
      <w:strike w:val="0"/>
      <w:spacing w:val="0"/>
      <w:sz w:val="21"/>
      <w:szCs w:val="21"/>
    </w:rPr>
  </w:style>
  <w:style w:type="character" w:customStyle="1" w:styleId="Gvdemetni1">
    <w:name w:val="Gövde metni"/>
    <w:basedOn w:val="Gvdemetni"/>
    <w:rPr>
      <w:rFonts w:ascii="Times New Roman" w:eastAsia="Times New Roman" w:hAnsi="Times New Roman" w:cs="Times New Roman"/>
      <w:b w:val="0"/>
      <w:bCs w:val="0"/>
      <w:i w:val="0"/>
      <w:iCs w:val="0"/>
      <w:smallCaps w:val="0"/>
      <w:strike w:val="0"/>
      <w:spacing w:val="0"/>
      <w:sz w:val="21"/>
      <w:szCs w:val="21"/>
    </w:rPr>
  </w:style>
  <w:style w:type="character" w:customStyle="1" w:styleId="Gvdemetni3">
    <w:name w:val="Gövde metni (3)_"/>
    <w:basedOn w:val="VarsaylanParagrafYazTipi"/>
    <w:link w:val="Gvdemetni30"/>
    <w:rPr>
      <w:rFonts w:ascii="Times New Roman" w:eastAsia="Times New Roman" w:hAnsi="Times New Roman" w:cs="Times New Roman"/>
      <w:b w:val="0"/>
      <w:bCs w:val="0"/>
      <w:i w:val="0"/>
      <w:iCs w:val="0"/>
      <w:smallCaps w:val="0"/>
      <w:strike w:val="0"/>
      <w:spacing w:val="0"/>
      <w:sz w:val="22"/>
      <w:szCs w:val="22"/>
    </w:rPr>
  </w:style>
  <w:style w:type="character" w:customStyle="1" w:styleId="Gvdemetni2">
    <w:name w:val="Gövde metni (2)_"/>
    <w:basedOn w:val="VarsaylanParagrafYazTipi"/>
    <w:link w:val="Gvdemetni20"/>
    <w:rPr>
      <w:rFonts w:ascii="Times New Roman" w:eastAsia="Times New Roman" w:hAnsi="Times New Roman" w:cs="Times New Roman"/>
      <w:b w:val="0"/>
      <w:bCs w:val="0"/>
      <w:i w:val="0"/>
      <w:iCs w:val="0"/>
      <w:smallCaps w:val="0"/>
      <w:strike w:val="0"/>
      <w:spacing w:val="0"/>
      <w:sz w:val="15"/>
      <w:szCs w:val="15"/>
    </w:rPr>
  </w:style>
  <w:style w:type="character" w:customStyle="1" w:styleId="Gvdemetni21">
    <w:name w:val="Gövde metni (2)"/>
    <w:basedOn w:val="Gvdemetni2"/>
    <w:rPr>
      <w:rFonts w:ascii="Times New Roman" w:eastAsia="Times New Roman" w:hAnsi="Times New Roman" w:cs="Times New Roman"/>
      <w:b w:val="0"/>
      <w:bCs w:val="0"/>
      <w:i w:val="0"/>
      <w:iCs w:val="0"/>
      <w:smallCaps w:val="0"/>
      <w:strike w:val="0"/>
      <w:spacing w:val="0"/>
      <w:sz w:val="15"/>
      <w:szCs w:val="15"/>
    </w:rPr>
  </w:style>
  <w:style w:type="character" w:customStyle="1" w:styleId="Balk1">
    <w:name w:val="Başlık #1_"/>
    <w:basedOn w:val="VarsaylanParagrafYazTipi"/>
    <w:link w:val="Balk10"/>
    <w:rPr>
      <w:rFonts w:ascii="Times New Roman" w:eastAsia="Times New Roman" w:hAnsi="Times New Roman" w:cs="Times New Roman"/>
      <w:b w:val="0"/>
      <w:bCs w:val="0"/>
      <w:i w:val="0"/>
      <w:iCs w:val="0"/>
      <w:smallCaps w:val="0"/>
      <w:strike w:val="0"/>
      <w:spacing w:val="0"/>
      <w:sz w:val="22"/>
      <w:szCs w:val="22"/>
    </w:rPr>
  </w:style>
  <w:style w:type="character" w:customStyle="1" w:styleId="Balk11">
    <w:name w:val="Başlık #1"/>
    <w:basedOn w:val="Balk1"/>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Balk12">
    <w:name w:val="Başlık #1"/>
    <w:basedOn w:val="Balk1"/>
    <w:rPr>
      <w:rFonts w:ascii="Times New Roman" w:eastAsia="Times New Roman" w:hAnsi="Times New Roman" w:cs="Times New Roman"/>
      <w:b w:val="0"/>
      <w:bCs w:val="0"/>
      <w:i w:val="0"/>
      <w:iCs w:val="0"/>
      <w:smallCaps w:val="0"/>
      <w:strike w:val="0"/>
      <w:spacing w:val="0"/>
      <w:sz w:val="22"/>
      <w:szCs w:val="22"/>
    </w:rPr>
  </w:style>
  <w:style w:type="character" w:customStyle="1" w:styleId="Gvdemetnitalik">
    <w:name w:val="Gövde metni + İtalik"/>
    <w:basedOn w:val="Gvdemetni"/>
    <w:rPr>
      <w:rFonts w:ascii="Times New Roman" w:eastAsia="Times New Roman" w:hAnsi="Times New Roman" w:cs="Times New Roman"/>
      <w:b w:val="0"/>
      <w:bCs w:val="0"/>
      <w:i/>
      <w:iCs/>
      <w:smallCaps w:val="0"/>
      <w:strike w:val="0"/>
      <w:spacing w:val="0"/>
      <w:sz w:val="21"/>
      <w:szCs w:val="21"/>
    </w:rPr>
  </w:style>
  <w:style w:type="paragraph" w:customStyle="1" w:styleId="Gvdemetni0">
    <w:name w:val="Gövde metni"/>
    <w:basedOn w:val="Normal"/>
    <w:link w:val="Gvdemetni"/>
    <w:pPr>
      <w:shd w:val="clear" w:color="auto" w:fill="FFFFFF"/>
      <w:spacing w:line="226" w:lineRule="exact"/>
    </w:pPr>
    <w:rPr>
      <w:rFonts w:ascii="Times New Roman" w:eastAsia="Times New Roman" w:hAnsi="Times New Roman" w:cs="Times New Roman"/>
      <w:sz w:val="21"/>
      <w:szCs w:val="21"/>
    </w:rPr>
  </w:style>
  <w:style w:type="paragraph" w:customStyle="1" w:styleId="Gvdemetni30">
    <w:name w:val="Gövde metni (3)"/>
    <w:basedOn w:val="Normal"/>
    <w:link w:val="Gvdemetni3"/>
    <w:pPr>
      <w:shd w:val="clear" w:color="auto" w:fill="FFFFFF"/>
      <w:spacing w:line="0" w:lineRule="atLeast"/>
    </w:pPr>
    <w:rPr>
      <w:rFonts w:ascii="Times New Roman" w:eastAsia="Times New Roman" w:hAnsi="Times New Roman" w:cs="Times New Roman"/>
      <w:b/>
      <w:bCs/>
      <w:sz w:val="22"/>
      <w:szCs w:val="22"/>
    </w:rPr>
  </w:style>
  <w:style w:type="paragraph" w:customStyle="1" w:styleId="Gvdemetni20">
    <w:name w:val="Gövde metni (2)"/>
    <w:basedOn w:val="Normal"/>
    <w:link w:val="Gvdemetni2"/>
    <w:pPr>
      <w:shd w:val="clear" w:color="auto" w:fill="FFFFFF"/>
      <w:spacing w:before="6540" w:after="240" w:line="0" w:lineRule="atLeast"/>
    </w:pPr>
    <w:rPr>
      <w:rFonts w:ascii="Times New Roman" w:eastAsia="Times New Roman" w:hAnsi="Times New Roman" w:cs="Times New Roman"/>
      <w:sz w:val="15"/>
      <w:szCs w:val="15"/>
    </w:rPr>
  </w:style>
  <w:style w:type="paragraph" w:customStyle="1" w:styleId="Balk10">
    <w:name w:val="Başlık #1"/>
    <w:basedOn w:val="Normal"/>
    <w:link w:val="Balk1"/>
    <w:pPr>
      <w:shd w:val="clear" w:color="auto" w:fill="FFFFFF"/>
      <w:spacing w:after="960" w:line="0" w:lineRule="atLeast"/>
      <w:outlineLvl w:val="0"/>
    </w:pPr>
    <w:rPr>
      <w:rFonts w:ascii="Times New Roman" w:eastAsia="Times New Roman" w:hAnsi="Times New Roman" w:cs="Times New Roman"/>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Gvdemetni">
    <w:name w:val="Gövde metni_"/>
    <w:basedOn w:val="VarsaylanParagrafYazTipi"/>
    <w:link w:val="Gvdemetni0"/>
    <w:rPr>
      <w:rFonts w:ascii="Times New Roman" w:eastAsia="Times New Roman" w:hAnsi="Times New Roman" w:cs="Times New Roman"/>
      <w:b w:val="0"/>
      <w:bCs w:val="0"/>
      <w:i w:val="0"/>
      <w:iCs w:val="0"/>
      <w:smallCaps w:val="0"/>
      <w:strike w:val="0"/>
      <w:spacing w:val="0"/>
      <w:sz w:val="21"/>
      <w:szCs w:val="21"/>
    </w:rPr>
  </w:style>
  <w:style w:type="character" w:customStyle="1" w:styleId="Gvdemetni1">
    <w:name w:val="Gövde metni"/>
    <w:basedOn w:val="Gvdemetni"/>
    <w:rPr>
      <w:rFonts w:ascii="Times New Roman" w:eastAsia="Times New Roman" w:hAnsi="Times New Roman" w:cs="Times New Roman"/>
      <w:b w:val="0"/>
      <w:bCs w:val="0"/>
      <w:i w:val="0"/>
      <w:iCs w:val="0"/>
      <w:smallCaps w:val="0"/>
      <w:strike w:val="0"/>
      <w:spacing w:val="0"/>
      <w:sz w:val="21"/>
      <w:szCs w:val="21"/>
    </w:rPr>
  </w:style>
  <w:style w:type="character" w:customStyle="1" w:styleId="Gvdemetni3">
    <w:name w:val="Gövde metni (3)_"/>
    <w:basedOn w:val="VarsaylanParagrafYazTipi"/>
    <w:link w:val="Gvdemetni30"/>
    <w:rPr>
      <w:rFonts w:ascii="Times New Roman" w:eastAsia="Times New Roman" w:hAnsi="Times New Roman" w:cs="Times New Roman"/>
      <w:b w:val="0"/>
      <w:bCs w:val="0"/>
      <w:i w:val="0"/>
      <w:iCs w:val="0"/>
      <w:smallCaps w:val="0"/>
      <w:strike w:val="0"/>
      <w:spacing w:val="0"/>
      <w:sz w:val="22"/>
      <w:szCs w:val="22"/>
    </w:rPr>
  </w:style>
  <w:style w:type="character" w:customStyle="1" w:styleId="Gvdemetni2">
    <w:name w:val="Gövde metni (2)_"/>
    <w:basedOn w:val="VarsaylanParagrafYazTipi"/>
    <w:link w:val="Gvdemetni20"/>
    <w:rPr>
      <w:rFonts w:ascii="Times New Roman" w:eastAsia="Times New Roman" w:hAnsi="Times New Roman" w:cs="Times New Roman"/>
      <w:b w:val="0"/>
      <w:bCs w:val="0"/>
      <w:i w:val="0"/>
      <w:iCs w:val="0"/>
      <w:smallCaps w:val="0"/>
      <w:strike w:val="0"/>
      <w:spacing w:val="0"/>
      <w:sz w:val="15"/>
      <w:szCs w:val="15"/>
    </w:rPr>
  </w:style>
  <w:style w:type="character" w:customStyle="1" w:styleId="Gvdemetni21">
    <w:name w:val="Gövde metni (2)"/>
    <w:basedOn w:val="Gvdemetni2"/>
    <w:rPr>
      <w:rFonts w:ascii="Times New Roman" w:eastAsia="Times New Roman" w:hAnsi="Times New Roman" w:cs="Times New Roman"/>
      <w:b w:val="0"/>
      <w:bCs w:val="0"/>
      <w:i w:val="0"/>
      <w:iCs w:val="0"/>
      <w:smallCaps w:val="0"/>
      <w:strike w:val="0"/>
      <w:spacing w:val="0"/>
      <w:sz w:val="15"/>
      <w:szCs w:val="15"/>
    </w:rPr>
  </w:style>
  <w:style w:type="character" w:customStyle="1" w:styleId="Balk1">
    <w:name w:val="Başlık #1_"/>
    <w:basedOn w:val="VarsaylanParagrafYazTipi"/>
    <w:link w:val="Balk10"/>
    <w:rPr>
      <w:rFonts w:ascii="Times New Roman" w:eastAsia="Times New Roman" w:hAnsi="Times New Roman" w:cs="Times New Roman"/>
      <w:b w:val="0"/>
      <w:bCs w:val="0"/>
      <w:i w:val="0"/>
      <w:iCs w:val="0"/>
      <w:smallCaps w:val="0"/>
      <w:strike w:val="0"/>
      <w:spacing w:val="0"/>
      <w:sz w:val="22"/>
      <w:szCs w:val="22"/>
    </w:rPr>
  </w:style>
  <w:style w:type="character" w:customStyle="1" w:styleId="Balk11">
    <w:name w:val="Başlık #1"/>
    <w:basedOn w:val="Balk1"/>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Balk12">
    <w:name w:val="Başlık #1"/>
    <w:basedOn w:val="Balk1"/>
    <w:rPr>
      <w:rFonts w:ascii="Times New Roman" w:eastAsia="Times New Roman" w:hAnsi="Times New Roman" w:cs="Times New Roman"/>
      <w:b w:val="0"/>
      <w:bCs w:val="0"/>
      <w:i w:val="0"/>
      <w:iCs w:val="0"/>
      <w:smallCaps w:val="0"/>
      <w:strike w:val="0"/>
      <w:spacing w:val="0"/>
      <w:sz w:val="22"/>
      <w:szCs w:val="22"/>
    </w:rPr>
  </w:style>
  <w:style w:type="character" w:customStyle="1" w:styleId="Gvdemetnitalik">
    <w:name w:val="Gövde metni + İtalik"/>
    <w:basedOn w:val="Gvdemetni"/>
    <w:rPr>
      <w:rFonts w:ascii="Times New Roman" w:eastAsia="Times New Roman" w:hAnsi="Times New Roman" w:cs="Times New Roman"/>
      <w:b w:val="0"/>
      <w:bCs w:val="0"/>
      <w:i/>
      <w:iCs/>
      <w:smallCaps w:val="0"/>
      <w:strike w:val="0"/>
      <w:spacing w:val="0"/>
      <w:sz w:val="21"/>
      <w:szCs w:val="21"/>
    </w:rPr>
  </w:style>
  <w:style w:type="paragraph" w:customStyle="1" w:styleId="Gvdemetni0">
    <w:name w:val="Gövde metni"/>
    <w:basedOn w:val="Normal"/>
    <w:link w:val="Gvdemetni"/>
    <w:pPr>
      <w:shd w:val="clear" w:color="auto" w:fill="FFFFFF"/>
      <w:spacing w:line="226" w:lineRule="exact"/>
    </w:pPr>
    <w:rPr>
      <w:rFonts w:ascii="Times New Roman" w:eastAsia="Times New Roman" w:hAnsi="Times New Roman" w:cs="Times New Roman"/>
      <w:sz w:val="21"/>
      <w:szCs w:val="21"/>
    </w:rPr>
  </w:style>
  <w:style w:type="paragraph" w:customStyle="1" w:styleId="Gvdemetni30">
    <w:name w:val="Gövde metni (3)"/>
    <w:basedOn w:val="Normal"/>
    <w:link w:val="Gvdemetni3"/>
    <w:pPr>
      <w:shd w:val="clear" w:color="auto" w:fill="FFFFFF"/>
      <w:spacing w:line="0" w:lineRule="atLeast"/>
    </w:pPr>
    <w:rPr>
      <w:rFonts w:ascii="Times New Roman" w:eastAsia="Times New Roman" w:hAnsi="Times New Roman" w:cs="Times New Roman"/>
      <w:b/>
      <w:bCs/>
      <w:sz w:val="22"/>
      <w:szCs w:val="22"/>
    </w:rPr>
  </w:style>
  <w:style w:type="paragraph" w:customStyle="1" w:styleId="Gvdemetni20">
    <w:name w:val="Gövde metni (2)"/>
    <w:basedOn w:val="Normal"/>
    <w:link w:val="Gvdemetni2"/>
    <w:pPr>
      <w:shd w:val="clear" w:color="auto" w:fill="FFFFFF"/>
      <w:spacing w:before="6540" w:after="240" w:line="0" w:lineRule="atLeast"/>
    </w:pPr>
    <w:rPr>
      <w:rFonts w:ascii="Times New Roman" w:eastAsia="Times New Roman" w:hAnsi="Times New Roman" w:cs="Times New Roman"/>
      <w:sz w:val="15"/>
      <w:szCs w:val="15"/>
    </w:rPr>
  </w:style>
  <w:style w:type="paragraph" w:customStyle="1" w:styleId="Balk10">
    <w:name w:val="Başlık #1"/>
    <w:basedOn w:val="Normal"/>
    <w:link w:val="Balk1"/>
    <w:pPr>
      <w:shd w:val="clear" w:color="auto" w:fill="FFFFFF"/>
      <w:spacing w:after="960" w:line="0" w:lineRule="atLeast"/>
      <w:outlineLvl w:val="0"/>
    </w:pPr>
    <w:rPr>
      <w:rFonts w:ascii="Times New Roman" w:eastAsia="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hazine.gov.tr" TargetMode="External"/><Relationship Id="rId3" Type="http://schemas.openxmlformats.org/officeDocument/2006/relationships/settings" Target="settings.xml"/><Relationship Id="rId7" Type="http://schemas.openxmlformats.org/officeDocument/2006/relationships/hyperlink" Target="mailto:bilgiedinme@hazine.gov.t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372</Words>
  <Characters>2123</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mehmetgokhan</dc:creator>
  <cp:lastModifiedBy>mehmetgokhan</cp:lastModifiedBy>
  <cp:revision>1</cp:revision>
  <dcterms:created xsi:type="dcterms:W3CDTF">2015-10-05T12:07:00Z</dcterms:created>
  <dcterms:modified xsi:type="dcterms:W3CDTF">2015-10-05T12:08:00Z</dcterms:modified>
</cp:coreProperties>
</file>