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8D5" w:rsidRDefault="005925D1">
      <w:pPr>
        <w:pStyle w:val="Gvdemetni0"/>
        <w:shd w:val="clear" w:color="auto" w:fill="auto"/>
        <w:ind w:left="800"/>
      </w:pPr>
      <w:bookmarkStart w:id="0" w:name="_GoBack"/>
      <w:bookmarkEnd w:id="0"/>
      <w:r>
        <w:t>T.C.</w:t>
      </w:r>
    </w:p>
    <w:p w:rsidR="00DD38D5" w:rsidRDefault="005925D1">
      <w:pPr>
        <w:pStyle w:val="Gvdemetni0"/>
        <w:shd w:val="clear" w:color="auto" w:fill="auto"/>
        <w:ind w:left="80" w:right="380"/>
        <w:sectPr w:rsidR="00DD38D5">
          <w:type w:val="continuous"/>
          <w:pgSz w:w="11905" w:h="16837"/>
          <w:pgMar w:top="1075" w:right="4675" w:bottom="1099" w:left="4963" w:header="0" w:footer="3" w:gutter="0"/>
          <w:cols w:space="720"/>
          <w:noEndnote/>
          <w:docGrid w:linePitch="360"/>
        </w:sectPr>
      </w:pPr>
      <w:r>
        <w:t>BAŞBAKANLIK Hazine Müsteşarlığı</w:t>
      </w:r>
    </w:p>
    <w:p w:rsidR="00DD38D5" w:rsidRDefault="00DD38D5">
      <w:pPr>
        <w:framePr w:w="11904" w:h="569" w:hRule="exact" w:wrap="notBeside" w:vAnchor="text" w:hAnchor="text" w:xAlign="center" w:y="1" w:anchorLock="1"/>
      </w:pPr>
    </w:p>
    <w:p w:rsidR="00DD38D5" w:rsidRDefault="005925D1">
      <w:pPr>
        <w:rPr>
          <w:sz w:val="2"/>
          <w:szCs w:val="2"/>
        </w:rPr>
        <w:sectPr w:rsidR="00DD38D5">
          <w:type w:val="continuous"/>
          <w:pgSz w:w="11905" w:h="16837"/>
          <w:pgMar w:top="0" w:right="0" w:bottom="0" w:left="0" w:header="0" w:footer="3" w:gutter="0"/>
          <w:cols w:space="720"/>
          <w:noEndnote/>
          <w:docGrid w:linePitch="360"/>
        </w:sectPr>
      </w:pPr>
      <w:r>
        <w:t xml:space="preserve"> </w:t>
      </w:r>
    </w:p>
    <w:p w:rsidR="00DD38D5" w:rsidRDefault="005925D1">
      <w:pPr>
        <w:pStyle w:val="Gvdemetni0"/>
        <w:shd w:val="clear" w:color="auto" w:fill="auto"/>
        <w:spacing w:after="133" w:line="220" w:lineRule="exact"/>
        <w:ind w:left="40"/>
      </w:pPr>
      <w:proofErr w:type="gramStart"/>
      <w:r>
        <w:lastRenderedPageBreak/>
        <w:t>Sayı : 48183842</w:t>
      </w:r>
      <w:proofErr w:type="gramEnd"/>
      <w:r>
        <w:t>-308.03/E.26945</w:t>
      </w:r>
    </w:p>
    <w:p w:rsidR="00DD38D5" w:rsidRDefault="005925D1">
      <w:pPr>
        <w:pStyle w:val="Gvdemetni0"/>
        <w:shd w:val="clear" w:color="auto" w:fill="auto"/>
        <w:spacing w:after="651" w:line="220" w:lineRule="exact"/>
        <w:ind w:left="40"/>
      </w:pPr>
      <w:proofErr w:type="gramStart"/>
      <w:r>
        <w:t>Konu : 2015</w:t>
      </w:r>
      <w:proofErr w:type="gramEnd"/>
      <w:r>
        <w:t>/33 sayılı sektör duyurusu</w:t>
      </w:r>
    </w:p>
    <w:p w:rsidR="00DD38D5" w:rsidRDefault="005925D1">
      <w:pPr>
        <w:pStyle w:val="Gvdemetni0"/>
        <w:shd w:val="clear" w:color="auto" w:fill="auto"/>
        <w:spacing w:after="531" w:line="220" w:lineRule="exact"/>
        <w:ind w:left="40" w:firstLine="720"/>
        <w:jc w:val="both"/>
      </w:pPr>
      <w:r>
        <w:t>TÜRKİYE SİGORTA REASÜRANS VE EMEKLİLİK ŞİRKETLERİ BİRLİĞİ NE</w:t>
      </w:r>
    </w:p>
    <w:p w:rsidR="00DD38D5" w:rsidRDefault="005925D1">
      <w:pPr>
        <w:pStyle w:val="Gvdemetni0"/>
        <w:framePr w:h="220" w:wrap="around" w:hAnchor="margin" w:x="8241" w:y="1260"/>
        <w:shd w:val="clear" w:color="auto" w:fill="auto"/>
        <w:spacing w:line="220" w:lineRule="exact"/>
        <w:ind w:left="100"/>
      </w:pPr>
      <w:r>
        <w:t>04.09.2015</w:t>
      </w:r>
    </w:p>
    <w:p w:rsidR="00DD38D5" w:rsidRDefault="005925D1">
      <w:pPr>
        <w:pStyle w:val="Gvdemetni0"/>
        <w:shd w:val="clear" w:color="auto" w:fill="auto"/>
        <w:spacing w:after="318" w:line="317" w:lineRule="exact"/>
        <w:ind w:left="40" w:right="320" w:firstLine="720"/>
        <w:jc w:val="both"/>
      </w:pPr>
      <w:r>
        <w:t>5684 sayılı Sigortacılık Kanunu ve buna dayanılarak çıkarılan Sigortacılık Kapsamında Değerlendirilecek Faaliyetlere, Tüketici Lehine Yapılan Sigorta Sözleşmeleri İle Mesafeli Akdedilen Sigorta Sözleşmelerine İlişkin Yönetmelik çerçevesinde hazırlanan 2015</w:t>
      </w:r>
      <w:r>
        <w:t xml:space="preserve">/33 sayılı </w:t>
      </w:r>
      <w:r>
        <w:rPr>
          <w:rStyle w:val="Gvdemetni115pttalik"/>
        </w:rPr>
        <w:t>"Mesafeli Satış Konulu 2014/22 Sayılı Sektör Duyurusunda Değişiklik Yapılmasına İlişkin Sektör Duyurusu"'</w:t>
      </w:r>
      <w:proofErr w:type="spellStart"/>
      <w:r>
        <w:rPr>
          <w:rStyle w:val="Gvdemetni115pttalik"/>
        </w:rPr>
        <w:t>nun</w:t>
      </w:r>
      <w:proofErr w:type="spellEnd"/>
      <w:r>
        <w:t xml:space="preserve"> bir örneği ilişikte gönderilmektedir.</w:t>
      </w:r>
    </w:p>
    <w:p w:rsidR="00DD38D5" w:rsidRDefault="005925D1">
      <w:pPr>
        <w:pStyle w:val="Gvdemetni0"/>
        <w:framePr w:w="1995" w:h="954" w:vSpace="93" w:wrap="around" w:vAnchor="text" w:hAnchor="margin" w:x="7751" w:y="1073"/>
        <w:shd w:val="clear" w:color="auto" w:fill="auto"/>
        <w:spacing w:line="317" w:lineRule="exact"/>
        <w:ind w:left="20"/>
        <w:jc w:val="center"/>
      </w:pPr>
      <w:r>
        <w:t>Gökhan KARASU Müsteşar a. Genel Müdür V.</w:t>
      </w:r>
    </w:p>
    <w:p w:rsidR="00DD38D5" w:rsidRDefault="005925D1">
      <w:pPr>
        <w:pStyle w:val="Gvdemetni0"/>
        <w:shd w:val="clear" w:color="auto" w:fill="auto"/>
        <w:spacing w:after="486" w:line="220" w:lineRule="exact"/>
        <w:ind w:left="40" w:firstLine="720"/>
        <w:jc w:val="both"/>
      </w:pPr>
      <w:r>
        <w:t>Bilgi edinilmesini ve gereğini rica ederim.</w:t>
      </w:r>
    </w:p>
    <w:p w:rsidR="00DD38D5" w:rsidRDefault="005925D1">
      <w:pPr>
        <w:pStyle w:val="Gvdemetni0"/>
        <w:shd w:val="clear" w:color="auto" w:fill="auto"/>
        <w:spacing w:after="913" w:line="220" w:lineRule="exact"/>
        <w:ind w:left="8080"/>
      </w:pPr>
      <w:r>
        <w:rPr>
          <w:rStyle w:val="Gvdemetni1"/>
        </w:rPr>
        <w:t xml:space="preserve">JJ </w:t>
      </w:r>
      <w:r>
        <w:rPr>
          <w:rStyle w:val="Gvdemetni2"/>
        </w:rPr>
        <w:t>e-imzalıdır</w:t>
      </w:r>
    </w:p>
    <w:p w:rsidR="00DD38D5" w:rsidRDefault="005925D1">
      <w:pPr>
        <w:pStyle w:val="Gvdemetni0"/>
        <w:shd w:val="clear" w:color="auto" w:fill="auto"/>
        <w:spacing w:after="6209" w:line="220" w:lineRule="exact"/>
        <w:ind w:left="40"/>
      </w:pPr>
      <w:proofErr w:type="gramStart"/>
      <w:r>
        <w:t>Ek : 2015</w:t>
      </w:r>
      <w:proofErr w:type="gramEnd"/>
      <w:r>
        <w:t>/33 Sayılı Sektör Duyurusu (1 sayfa)</w:t>
      </w:r>
    </w:p>
    <w:p w:rsidR="00DD38D5" w:rsidRDefault="005925D1">
      <w:pPr>
        <w:pStyle w:val="Gvdemetni21"/>
        <w:shd w:val="clear" w:color="auto" w:fill="auto"/>
        <w:spacing w:before="0" w:line="170" w:lineRule="exact"/>
        <w:ind w:left="1340"/>
        <w:sectPr w:rsidR="00DD38D5">
          <w:type w:val="continuous"/>
          <w:pgSz w:w="11905" w:h="16837"/>
          <w:pgMar w:top="1075" w:right="926" w:bottom="1099" w:left="1118" w:header="0" w:footer="3" w:gutter="0"/>
          <w:cols w:space="720"/>
          <w:noEndnote/>
          <w:docGrid w:linePitch="360"/>
        </w:sectPr>
      </w:pPr>
      <w:r>
        <w:rPr>
          <w:rStyle w:val="Gvdemetni22"/>
        </w:rPr>
        <w:lastRenderedPageBreak/>
        <w:t>Not: 5070 sayılı Elektronik İmza Kanunu çerçevesinde güvenli elektronik imzalı aslı ile aynıdır.</w:t>
      </w:r>
    </w:p>
    <w:p w:rsidR="00DD38D5" w:rsidRDefault="00DD38D5">
      <w:pPr>
        <w:framePr w:w="11904" w:h="241" w:hRule="exact" w:wrap="notBeside" w:vAnchor="text" w:hAnchor="text" w:xAlign="center" w:y="1" w:anchorLock="1"/>
      </w:pPr>
    </w:p>
    <w:p w:rsidR="00DD38D5" w:rsidRDefault="005925D1">
      <w:pPr>
        <w:rPr>
          <w:sz w:val="2"/>
          <w:szCs w:val="2"/>
        </w:rPr>
        <w:sectPr w:rsidR="00DD38D5">
          <w:type w:val="continuous"/>
          <w:pgSz w:w="11905" w:h="16837"/>
          <w:pgMar w:top="0" w:right="0" w:bottom="0" w:left="0" w:header="0" w:footer="3" w:gutter="0"/>
          <w:cols w:space="720"/>
          <w:noEndnote/>
          <w:docGrid w:linePitch="360"/>
        </w:sectPr>
      </w:pPr>
      <w:r>
        <w:t xml:space="preserve"> </w:t>
      </w:r>
    </w:p>
    <w:p w:rsidR="00DD38D5" w:rsidRDefault="005925D1">
      <w:pPr>
        <w:pStyle w:val="Gvdemetni21"/>
        <w:shd w:val="clear" w:color="auto" w:fill="auto"/>
        <w:spacing w:before="0" w:line="178" w:lineRule="exact"/>
      </w:pPr>
      <w:r>
        <w:lastRenderedPageBreak/>
        <w:t>T.C. Başbakanlık Hazine Müsteşarlığı, İnönü Bulvar</w:t>
      </w:r>
      <w:r>
        <w:t>ı, No:36 06510, Emek.</w:t>
      </w:r>
    </w:p>
    <w:p w:rsidR="00DD38D5" w:rsidRDefault="005925D1">
      <w:pPr>
        <w:pStyle w:val="Gvdemetni21"/>
        <w:shd w:val="clear" w:color="auto" w:fill="auto"/>
        <w:spacing w:before="0" w:line="178" w:lineRule="exact"/>
      </w:pPr>
      <w:r>
        <w:t xml:space="preserve">Telefon </w:t>
      </w:r>
      <w:proofErr w:type="gramStart"/>
      <w:r>
        <w:t>No : 3122046000</w:t>
      </w:r>
      <w:proofErr w:type="gramEnd"/>
      <w:r>
        <w:t xml:space="preserve"> Belgegeçer No : 3122046644</w:t>
      </w:r>
    </w:p>
    <w:p w:rsidR="00DD38D5" w:rsidRDefault="005925D1">
      <w:pPr>
        <w:pStyle w:val="Gvdemetni21"/>
        <w:framePr w:w="2776" w:h="365" w:wrap="around" w:hAnchor="margin" w:x="6700" w:y="14113"/>
        <w:shd w:val="clear" w:color="auto" w:fill="auto"/>
        <w:spacing w:before="0" w:line="170" w:lineRule="exact"/>
        <w:ind w:left="100"/>
      </w:pPr>
      <w:r>
        <w:t xml:space="preserve">Bilgi </w:t>
      </w:r>
      <w:proofErr w:type="spellStart"/>
      <w:proofErr w:type="gramStart"/>
      <w:r>
        <w:t>için:ABDURRAHMAN</w:t>
      </w:r>
      <w:proofErr w:type="spellEnd"/>
      <w:proofErr w:type="gramEnd"/>
      <w:r>
        <w:t xml:space="preserve"> ÖZEN</w:t>
      </w:r>
    </w:p>
    <w:p w:rsidR="00DD38D5" w:rsidRDefault="005925D1">
      <w:pPr>
        <w:pStyle w:val="Gvdemetni21"/>
        <w:framePr w:w="2776" w:h="365" w:wrap="around" w:hAnchor="margin" w:x="6700" w:y="14113"/>
        <w:shd w:val="clear" w:color="auto" w:fill="auto"/>
        <w:spacing w:before="0" w:line="170" w:lineRule="exact"/>
        <w:ind w:left="1660"/>
      </w:pPr>
      <w:r>
        <w:t>Hazine Uzmanı</w:t>
      </w:r>
    </w:p>
    <w:p w:rsidR="00DD38D5" w:rsidRDefault="005925D1">
      <w:pPr>
        <w:pStyle w:val="Gvdemetni21"/>
        <w:shd w:val="clear" w:color="auto" w:fill="auto"/>
        <w:spacing w:before="0" w:line="178" w:lineRule="exact"/>
        <w:sectPr w:rsidR="00DD38D5">
          <w:type w:val="continuous"/>
          <w:pgSz w:w="11905" w:h="16837"/>
          <w:pgMar w:top="1075" w:right="4972" w:bottom="1099" w:left="1219" w:header="0" w:footer="3" w:gutter="0"/>
          <w:cols w:space="720"/>
          <w:noEndnote/>
          <w:docGrid w:linePitch="360"/>
        </w:sectPr>
      </w:pPr>
      <w:proofErr w:type="gramStart"/>
      <w:r>
        <w:t>e</w:t>
      </w:r>
      <w:proofErr w:type="gramEnd"/>
      <w:r>
        <w:t xml:space="preserve">-posta : </w:t>
      </w:r>
      <w:hyperlink r:id="rId7" w:history="1">
        <w:r>
          <w:rPr>
            <w:rStyle w:val="Kpr"/>
            <w:lang w:val="en-US"/>
          </w:rPr>
          <w:t>bilgiedinme@hazine.gov.tr</w:t>
        </w:r>
      </w:hyperlink>
      <w:r>
        <w:rPr>
          <w:lang w:val="en-US"/>
        </w:rPr>
        <w:t xml:space="preserve"> </w:t>
      </w:r>
      <w:r>
        <w:t xml:space="preserve">internet adresi : </w:t>
      </w:r>
      <w:hyperlink r:id="rId8" w:history="1">
        <w:r>
          <w:rPr>
            <w:rStyle w:val="Kpr"/>
            <w:lang w:val="en-US"/>
          </w:rPr>
          <w:t>www.hazine.gov.tr</w:t>
        </w:r>
      </w:hyperlink>
    </w:p>
    <w:p w:rsidR="00DD38D5" w:rsidRDefault="005925D1">
      <w:pPr>
        <w:pStyle w:val="Gvdemetni30"/>
        <w:shd w:val="clear" w:color="auto" w:fill="auto"/>
        <w:spacing w:after="802" w:line="220" w:lineRule="exact"/>
        <w:ind w:left="20"/>
      </w:pPr>
      <w:r>
        <w:rPr>
          <w:rStyle w:val="Gvdemetni31"/>
        </w:rPr>
        <w:lastRenderedPageBreak/>
        <w:t>Ha/.ine Müsteşarlığından:</w:t>
      </w:r>
    </w:p>
    <w:p w:rsidR="00DD38D5" w:rsidRDefault="005925D1">
      <w:pPr>
        <w:pStyle w:val="Gvdemetni30"/>
        <w:shd w:val="clear" w:color="auto" w:fill="auto"/>
        <w:spacing w:after="0" w:line="269" w:lineRule="exact"/>
        <w:ind w:left="20"/>
        <w:jc w:val="center"/>
      </w:pPr>
      <w:r>
        <w:t>MESAFELİ SATIŞ KONULU 2014/22 SAYILI SEKTÖR DUYURUSUNDA DEĞİŞİKLİK YAPILMASINA İLİŞKİN SEKTÖR DUYURUSU</w:t>
      </w:r>
    </w:p>
    <w:p w:rsidR="00DD38D5" w:rsidRDefault="005925D1">
      <w:pPr>
        <w:pStyle w:val="Gvdemetni30"/>
        <w:shd w:val="clear" w:color="auto" w:fill="auto"/>
        <w:spacing w:after="836" w:line="269" w:lineRule="exact"/>
        <w:ind w:left="20"/>
        <w:jc w:val="center"/>
      </w:pPr>
      <w:r>
        <w:t>(2015/33.)</w:t>
      </w:r>
    </w:p>
    <w:p w:rsidR="00DD38D5" w:rsidRDefault="005925D1">
      <w:pPr>
        <w:pStyle w:val="Gvdemetni0"/>
        <w:shd w:val="clear" w:color="auto" w:fill="auto"/>
        <w:spacing w:after="240" w:line="274" w:lineRule="exact"/>
        <w:ind w:left="20" w:right="40" w:firstLine="560"/>
        <w:jc w:val="both"/>
      </w:pPr>
      <w:r>
        <w:t>Bilindiği üzere. 2014/22 sayılı Sektör Duyurusunda Sigortacılık Kapsam</w:t>
      </w:r>
      <w:r>
        <w:t>ında Değerlendirilecek Faaliyetlere, Tüketici Lehine Yapılan Sigorta Sözleşmeleri İle Mesafeli Akdedilen Sigorta Sözleşmelerine İlişkin Yönetmelik'in Uygulanmasına Dair Sorulara cevap verilmektedir.</w:t>
      </w:r>
    </w:p>
    <w:p w:rsidR="00DD38D5" w:rsidRDefault="005925D1">
      <w:pPr>
        <w:pStyle w:val="Gvdemetni0"/>
        <w:shd w:val="clear" w:color="auto" w:fill="auto"/>
        <w:spacing w:after="240" w:line="274" w:lineRule="exact"/>
        <w:ind w:left="20" w:right="40" w:firstLine="560"/>
        <w:jc w:val="both"/>
      </w:pPr>
      <w:r>
        <w:t>"Acentelerin yaptıkları mesafeli satışlarda sistemin uygu</w:t>
      </w:r>
      <w:r>
        <w:t>nluğu her bir acente bazında mı değerlendirilecek yoksa bunlardan sigorta şirketi mi sorumlu olacaktır?" başlıklı 1. sorunun cevabı aşağıdaki şekilde değiştirilmiştir:</w:t>
      </w:r>
    </w:p>
    <w:p w:rsidR="00DD38D5" w:rsidRDefault="005925D1">
      <w:pPr>
        <w:pStyle w:val="Gvdemetni21"/>
        <w:framePr w:h="221" w:wrap="around" w:hAnchor="margin" w:x="7305" w:y="2"/>
        <w:shd w:val="clear" w:color="auto" w:fill="auto"/>
        <w:spacing w:before="0" w:line="170" w:lineRule="exact"/>
        <w:ind w:left="100"/>
      </w:pPr>
      <w:r>
        <w:t>OL, t 03 /2015</w:t>
      </w:r>
    </w:p>
    <w:p w:rsidR="00DD38D5" w:rsidRDefault="005925D1">
      <w:pPr>
        <w:pStyle w:val="Gvdemetni0"/>
        <w:shd w:val="clear" w:color="auto" w:fill="auto"/>
        <w:spacing w:line="274" w:lineRule="exact"/>
        <w:ind w:left="20" w:right="40" w:firstLine="560"/>
        <w:jc w:val="both"/>
      </w:pPr>
      <w:r>
        <w:t>Acentelerce yapılan mesafeli satışlara ilişkin bildirim yükümlülüğü risk üstleniciye aittir. Acentenin mesafeli satış yapmak istemesi halinde sigorta şirketi; acentenin 2014/10 sayılı Elektronik Ortam ya da Çağrı Merkezi Kanalıyla Sigorta Sözleşmelerinin A</w:t>
      </w:r>
      <w:r>
        <w:t xml:space="preserve">kdedilmesi İçin Gerekli Teknik Altyapı Hakkında Genelge'nin 1 ve/veya 2 </w:t>
      </w:r>
      <w:proofErr w:type="spellStart"/>
      <w:r>
        <w:t>nci</w:t>
      </w:r>
      <w:proofErr w:type="spellEnd"/>
      <w:r>
        <w:t xml:space="preserve"> maddelerinde sayılan şartlara uyum sağlayıp sağlamadığını kontrol etmeli ve anılan şartlara uyum sağlayan acentelerini Müsteşarlığımıza bildirmelidir. Söz konusu bildirim acenteler</w:t>
      </w:r>
      <w:r>
        <w:t xml:space="preserve"> için uygunluk anlamına geleceğinden Müsteşarlığımız tarafından sigorta şirketlerine ya da acentelere herhangi bir onay, ruhsat vb. verilmeyecektir. Bir acente birden fazla sigorta şirketinin ürününe mesafeli aracılık ettiği takdirde her bir sigorta şirket</w:t>
      </w:r>
      <w:r>
        <w:t>inin Müsteşarlığımıza ayrı ayrı bildirimde bulunması gerekecektir.</w:t>
      </w:r>
    </w:p>
    <w:sectPr w:rsidR="00DD38D5">
      <w:pgSz w:w="11905" w:h="16837"/>
      <w:pgMar w:top="4434" w:right="555" w:bottom="4434" w:left="221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5D1" w:rsidRDefault="005925D1">
      <w:r>
        <w:separator/>
      </w:r>
    </w:p>
  </w:endnote>
  <w:endnote w:type="continuationSeparator" w:id="0">
    <w:p w:rsidR="005925D1" w:rsidRDefault="00592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5D1" w:rsidRDefault="005925D1"/>
  </w:footnote>
  <w:footnote w:type="continuationSeparator" w:id="0">
    <w:p w:rsidR="005925D1" w:rsidRDefault="005925D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8D5"/>
    <w:rsid w:val="00580CF7"/>
    <w:rsid w:val="005925D1"/>
    <w:rsid w:val="00DD38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pacing w:val="0"/>
      <w:sz w:val="22"/>
      <w:szCs w:val="22"/>
    </w:rPr>
  </w:style>
  <w:style w:type="character" w:customStyle="1" w:styleId="Gvdemetni115pttalik">
    <w:name w:val="Gövde metni + 11;5 pt;İtalik"/>
    <w:basedOn w:val="Gvdemetni"/>
    <w:rPr>
      <w:rFonts w:ascii="Times New Roman" w:eastAsia="Times New Roman" w:hAnsi="Times New Roman" w:cs="Times New Roman"/>
      <w:b w:val="0"/>
      <w:bCs w:val="0"/>
      <w:i/>
      <w:iCs/>
      <w:smallCaps w:val="0"/>
      <w:strike w:val="0"/>
      <w:spacing w:val="0"/>
      <w:sz w:val="23"/>
      <w:szCs w:val="23"/>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spacing w:val="0"/>
      <w:sz w:val="22"/>
      <w:szCs w:val="22"/>
    </w:rPr>
  </w:style>
  <w:style w:type="character" w:customStyle="1" w:styleId="Gvdemetni2">
    <w:name w:val="Gövde metni"/>
    <w:basedOn w:val="Gvdemetni"/>
    <w:rPr>
      <w:rFonts w:ascii="Times New Roman" w:eastAsia="Times New Roman" w:hAnsi="Times New Roman" w:cs="Times New Roman"/>
      <w:b w:val="0"/>
      <w:bCs w:val="0"/>
      <w:i w:val="0"/>
      <w:iCs w:val="0"/>
      <w:smallCaps w:val="0"/>
      <w:strike w:val="0"/>
      <w:spacing w:val="0"/>
      <w:sz w:val="22"/>
      <w:szCs w:val="22"/>
    </w:rPr>
  </w:style>
  <w:style w:type="character" w:customStyle="1" w:styleId="Gvdemetni20">
    <w:name w:val="Gövde metni (2)_"/>
    <w:basedOn w:val="VarsaylanParagrafYazTipi"/>
    <w:link w:val="Gvdemetni21"/>
    <w:rPr>
      <w:rFonts w:ascii="Times New Roman" w:eastAsia="Times New Roman" w:hAnsi="Times New Roman" w:cs="Times New Roman"/>
      <w:b w:val="0"/>
      <w:bCs w:val="0"/>
      <w:i w:val="0"/>
      <w:iCs w:val="0"/>
      <w:smallCaps w:val="0"/>
      <w:strike w:val="0"/>
      <w:spacing w:val="0"/>
      <w:sz w:val="17"/>
      <w:szCs w:val="17"/>
    </w:rPr>
  </w:style>
  <w:style w:type="character" w:customStyle="1" w:styleId="Gvdemetni22">
    <w:name w:val="Gövde metni (2)"/>
    <w:basedOn w:val="Gvdemetni20"/>
    <w:rPr>
      <w:rFonts w:ascii="Times New Roman" w:eastAsia="Times New Roman" w:hAnsi="Times New Roman" w:cs="Times New Roman"/>
      <w:b w:val="0"/>
      <w:bCs w:val="0"/>
      <w:i w:val="0"/>
      <w:iCs w:val="0"/>
      <w:smallCaps w:val="0"/>
      <w:strike w:val="0"/>
      <w:spacing w:val="0"/>
      <w:sz w:val="17"/>
      <w:szCs w:val="17"/>
    </w:rPr>
  </w:style>
  <w:style w:type="character" w:customStyle="1" w:styleId="Gvdemetni3">
    <w:name w:val="Gövde metni (3)_"/>
    <w:basedOn w:val="VarsaylanParagrafYazTipi"/>
    <w:link w:val="Gvdemetni30"/>
    <w:rPr>
      <w:rFonts w:ascii="Times New Roman" w:eastAsia="Times New Roman" w:hAnsi="Times New Roman" w:cs="Times New Roman"/>
      <w:b w:val="0"/>
      <w:bCs w:val="0"/>
      <w:i w:val="0"/>
      <w:iCs w:val="0"/>
      <w:smallCaps w:val="0"/>
      <w:strike w:val="0"/>
      <w:spacing w:val="0"/>
      <w:sz w:val="22"/>
      <w:szCs w:val="22"/>
    </w:rPr>
  </w:style>
  <w:style w:type="character" w:customStyle="1" w:styleId="Gvdemetni31">
    <w:name w:val="Gövde metni (3)"/>
    <w:basedOn w:val="Gvdemetni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Gvdemetni0">
    <w:name w:val="Gövde metni"/>
    <w:basedOn w:val="Normal"/>
    <w:link w:val="Gvdemetni"/>
    <w:pPr>
      <w:shd w:val="clear" w:color="auto" w:fill="FFFFFF"/>
      <w:spacing w:line="235" w:lineRule="exact"/>
    </w:pPr>
    <w:rPr>
      <w:rFonts w:ascii="Times New Roman" w:eastAsia="Times New Roman" w:hAnsi="Times New Roman" w:cs="Times New Roman"/>
      <w:sz w:val="22"/>
      <w:szCs w:val="22"/>
    </w:rPr>
  </w:style>
  <w:style w:type="paragraph" w:customStyle="1" w:styleId="Gvdemetni21">
    <w:name w:val="Gövde metni (2)"/>
    <w:basedOn w:val="Normal"/>
    <w:link w:val="Gvdemetni20"/>
    <w:pPr>
      <w:shd w:val="clear" w:color="auto" w:fill="FFFFFF"/>
      <w:spacing w:before="6240" w:line="0" w:lineRule="atLeast"/>
    </w:pPr>
    <w:rPr>
      <w:rFonts w:ascii="Times New Roman" w:eastAsia="Times New Roman" w:hAnsi="Times New Roman" w:cs="Times New Roman"/>
      <w:sz w:val="17"/>
      <w:szCs w:val="17"/>
    </w:rPr>
  </w:style>
  <w:style w:type="paragraph" w:customStyle="1" w:styleId="Gvdemetni30">
    <w:name w:val="Gövde metni (3)"/>
    <w:basedOn w:val="Normal"/>
    <w:link w:val="Gvdemetni3"/>
    <w:pPr>
      <w:shd w:val="clear" w:color="auto" w:fill="FFFFFF"/>
      <w:spacing w:after="840" w:line="0" w:lineRule="atLeast"/>
    </w:pPr>
    <w:rPr>
      <w:rFonts w:ascii="Times New Roman" w:eastAsia="Times New Roman" w:hAnsi="Times New Roman"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pacing w:val="0"/>
      <w:sz w:val="22"/>
      <w:szCs w:val="22"/>
    </w:rPr>
  </w:style>
  <w:style w:type="character" w:customStyle="1" w:styleId="Gvdemetni115pttalik">
    <w:name w:val="Gövde metni + 11;5 pt;İtalik"/>
    <w:basedOn w:val="Gvdemetni"/>
    <w:rPr>
      <w:rFonts w:ascii="Times New Roman" w:eastAsia="Times New Roman" w:hAnsi="Times New Roman" w:cs="Times New Roman"/>
      <w:b w:val="0"/>
      <w:bCs w:val="0"/>
      <w:i/>
      <w:iCs/>
      <w:smallCaps w:val="0"/>
      <w:strike w:val="0"/>
      <w:spacing w:val="0"/>
      <w:sz w:val="23"/>
      <w:szCs w:val="23"/>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spacing w:val="0"/>
      <w:sz w:val="22"/>
      <w:szCs w:val="22"/>
    </w:rPr>
  </w:style>
  <w:style w:type="character" w:customStyle="1" w:styleId="Gvdemetni2">
    <w:name w:val="Gövde metni"/>
    <w:basedOn w:val="Gvdemetni"/>
    <w:rPr>
      <w:rFonts w:ascii="Times New Roman" w:eastAsia="Times New Roman" w:hAnsi="Times New Roman" w:cs="Times New Roman"/>
      <w:b w:val="0"/>
      <w:bCs w:val="0"/>
      <w:i w:val="0"/>
      <w:iCs w:val="0"/>
      <w:smallCaps w:val="0"/>
      <w:strike w:val="0"/>
      <w:spacing w:val="0"/>
      <w:sz w:val="22"/>
      <w:szCs w:val="22"/>
    </w:rPr>
  </w:style>
  <w:style w:type="character" w:customStyle="1" w:styleId="Gvdemetni20">
    <w:name w:val="Gövde metni (2)_"/>
    <w:basedOn w:val="VarsaylanParagrafYazTipi"/>
    <w:link w:val="Gvdemetni21"/>
    <w:rPr>
      <w:rFonts w:ascii="Times New Roman" w:eastAsia="Times New Roman" w:hAnsi="Times New Roman" w:cs="Times New Roman"/>
      <w:b w:val="0"/>
      <w:bCs w:val="0"/>
      <w:i w:val="0"/>
      <w:iCs w:val="0"/>
      <w:smallCaps w:val="0"/>
      <w:strike w:val="0"/>
      <w:spacing w:val="0"/>
      <w:sz w:val="17"/>
      <w:szCs w:val="17"/>
    </w:rPr>
  </w:style>
  <w:style w:type="character" w:customStyle="1" w:styleId="Gvdemetni22">
    <w:name w:val="Gövde metni (2)"/>
    <w:basedOn w:val="Gvdemetni20"/>
    <w:rPr>
      <w:rFonts w:ascii="Times New Roman" w:eastAsia="Times New Roman" w:hAnsi="Times New Roman" w:cs="Times New Roman"/>
      <w:b w:val="0"/>
      <w:bCs w:val="0"/>
      <w:i w:val="0"/>
      <w:iCs w:val="0"/>
      <w:smallCaps w:val="0"/>
      <w:strike w:val="0"/>
      <w:spacing w:val="0"/>
      <w:sz w:val="17"/>
      <w:szCs w:val="17"/>
    </w:rPr>
  </w:style>
  <w:style w:type="character" w:customStyle="1" w:styleId="Gvdemetni3">
    <w:name w:val="Gövde metni (3)_"/>
    <w:basedOn w:val="VarsaylanParagrafYazTipi"/>
    <w:link w:val="Gvdemetni30"/>
    <w:rPr>
      <w:rFonts w:ascii="Times New Roman" w:eastAsia="Times New Roman" w:hAnsi="Times New Roman" w:cs="Times New Roman"/>
      <w:b w:val="0"/>
      <w:bCs w:val="0"/>
      <w:i w:val="0"/>
      <w:iCs w:val="0"/>
      <w:smallCaps w:val="0"/>
      <w:strike w:val="0"/>
      <w:spacing w:val="0"/>
      <w:sz w:val="22"/>
      <w:szCs w:val="22"/>
    </w:rPr>
  </w:style>
  <w:style w:type="character" w:customStyle="1" w:styleId="Gvdemetni31">
    <w:name w:val="Gövde metni (3)"/>
    <w:basedOn w:val="Gvdemetni3"/>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Gvdemetni0">
    <w:name w:val="Gövde metni"/>
    <w:basedOn w:val="Normal"/>
    <w:link w:val="Gvdemetni"/>
    <w:pPr>
      <w:shd w:val="clear" w:color="auto" w:fill="FFFFFF"/>
      <w:spacing w:line="235" w:lineRule="exact"/>
    </w:pPr>
    <w:rPr>
      <w:rFonts w:ascii="Times New Roman" w:eastAsia="Times New Roman" w:hAnsi="Times New Roman" w:cs="Times New Roman"/>
      <w:sz w:val="22"/>
      <w:szCs w:val="22"/>
    </w:rPr>
  </w:style>
  <w:style w:type="paragraph" w:customStyle="1" w:styleId="Gvdemetni21">
    <w:name w:val="Gövde metni (2)"/>
    <w:basedOn w:val="Normal"/>
    <w:link w:val="Gvdemetni20"/>
    <w:pPr>
      <w:shd w:val="clear" w:color="auto" w:fill="FFFFFF"/>
      <w:spacing w:before="6240" w:line="0" w:lineRule="atLeast"/>
    </w:pPr>
    <w:rPr>
      <w:rFonts w:ascii="Times New Roman" w:eastAsia="Times New Roman" w:hAnsi="Times New Roman" w:cs="Times New Roman"/>
      <w:sz w:val="17"/>
      <w:szCs w:val="17"/>
    </w:rPr>
  </w:style>
  <w:style w:type="paragraph" w:customStyle="1" w:styleId="Gvdemetni30">
    <w:name w:val="Gövde metni (3)"/>
    <w:basedOn w:val="Normal"/>
    <w:link w:val="Gvdemetni3"/>
    <w:pPr>
      <w:shd w:val="clear" w:color="auto" w:fill="FFFFFF"/>
      <w:spacing w:after="840" w:line="0" w:lineRule="atLeast"/>
    </w:pPr>
    <w:rPr>
      <w:rFonts w:ascii="Times New Roman" w:eastAsia="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hazine.gov.tr" TargetMode="External"/><Relationship Id="rId3" Type="http://schemas.openxmlformats.org/officeDocument/2006/relationships/settings" Target="settings.xml"/><Relationship Id="rId7" Type="http://schemas.openxmlformats.org/officeDocument/2006/relationships/hyperlink" Target="mailto:bilgiedinme@hazine.gov.t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395</Words>
  <Characters>2253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mehmetgokhan</dc:creator>
  <cp:lastModifiedBy>mehmetgokhan</cp:lastModifiedBy>
  <cp:revision>1</cp:revision>
  <dcterms:created xsi:type="dcterms:W3CDTF">2015-10-05T12:06:00Z</dcterms:created>
  <dcterms:modified xsi:type="dcterms:W3CDTF">2015-10-05T12:07:00Z</dcterms:modified>
</cp:coreProperties>
</file>