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FF" w:rsidRDefault="00B1066D">
      <w:pPr>
        <w:pStyle w:val="Gvdemetni0"/>
        <w:shd w:val="clear" w:color="auto" w:fill="auto"/>
        <w:ind w:left="800"/>
      </w:pPr>
      <w:bookmarkStart w:id="0" w:name="_GoBack"/>
      <w:bookmarkEnd w:id="0"/>
      <w:r>
        <w:t>T.C.</w:t>
      </w:r>
    </w:p>
    <w:p w:rsidR="00C43EFF" w:rsidRDefault="00B1066D">
      <w:pPr>
        <w:pStyle w:val="Gvdemetni0"/>
        <w:shd w:val="clear" w:color="auto" w:fill="auto"/>
        <w:ind w:left="80" w:right="380"/>
        <w:sectPr w:rsidR="00C43EFF">
          <w:type w:val="continuous"/>
          <w:pgSz w:w="11905" w:h="16837"/>
          <w:pgMar w:top="1075" w:right="4675" w:bottom="917" w:left="4963" w:header="0" w:footer="3" w:gutter="0"/>
          <w:cols w:space="720"/>
          <w:noEndnote/>
          <w:docGrid w:linePitch="360"/>
        </w:sectPr>
      </w:pPr>
      <w:r>
        <w:t>BAŞBAKANLIK Hazine Müsteşarlığı</w:t>
      </w:r>
    </w:p>
    <w:p w:rsidR="00C43EFF" w:rsidRDefault="00C43EFF">
      <w:pPr>
        <w:framePr w:w="11904" w:h="446" w:hRule="exact" w:wrap="notBeside" w:vAnchor="text" w:hAnchor="text" w:xAlign="center" w:y="1" w:anchorLock="1"/>
      </w:pPr>
    </w:p>
    <w:p w:rsidR="00C43EFF" w:rsidRDefault="00B1066D">
      <w:pPr>
        <w:rPr>
          <w:sz w:val="2"/>
          <w:szCs w:val="2"/>
        </w:rPr>
        <w:sectPr w:rsidR="00C43EFF">
          <w:type w:val="continuous"/>
          <w:pgSz w:w="11905" w:h="16837"/>
          <w:pgMar w:top="0" w:right="0" w:bottom="0" w:left="0" w:header="0" w:footer="3" w:gutter="0"/>
          <w:cols w:space="720"/>
          <w:noEndnote/>
          <w:docGrid w:linePitch="360"/>
        </w:sectPr>
      </w:pPr>
      <w:r>
        <w:t xml:space="preserve"> </w:t>
      </w:r>
    </w:p>
    <w:p w:rsidR="00C43EFF" w:rsidRDefault="00B1066D">
      <w:pPr>
        <w:pStyle w:val="Gvdemetni0"/>
        <w:framePr w:w="1216" w:h="596" w:wrap="around" w:vAnchor="text" w:hAnchor="margin" w:x="8217" w:y="-7"/>
        <w:shd w:val="clear" w:color="auto" w:fill="auto"/>
        <w:spacing w:after="120" w:line="220" w:lineRule="exact"/>
        <w:ind w:left="120"/>
      </w:pPr>
      <w:r>
        <w:t>28.08.2015</w:t>
      </w:r>
    </w:p>
    <w:p w:rsidR="00C43EFF" w:rsidRDefault="00B1066D">
      <w:pPr>
        <w:pStyle w:val="Gvdemetni20"/>
        <w:framePr w:w="1216" w:h="596" w:wrap="around" w:vAnchor="text" w:hAnchor="margin" w:x="8217" w:y="-7"/>
        <w:shd w:val="clear" w:color="auto" w:fill="auto"/>
        <w:spacing w:before="0" w:line="200" w:lineRule="exact"/>
        <w:ind w:left="120"/>
      </w:pPr>
      <w:r>
        <w:rPr>
          <w:rStyle w:val="Gvdemetni21"/>
        </w:rPr>
        <w:t>GÜNLÜDÜR</w:t>
      </w:r>
    </w:p>
    <w:p w:rsidR="00C43EFF" w:rsidRDefault="00B1066D">
      <w:pPr>
        <w:pStyle w:val="Gvdemetni0"/>
        <w:shd w:val="clear" w:color="auto" w:fill="auto"/>
        <w:spacing w:line="374" w:lineRule="exact"/>
        <w:ind w:left="20" w:right="360"/>
        <w:sectPr w:rsidR="00C43EFF">
          <w:type w:val="continuous"/>
          <w:pgSz w:w="11905" w:h="16837"/>
          <w:pgMar w:top="1075" w:right="5558" w:bottom="917" w:left="1118" w:header="0" w:footer="3" w:gutter="0"/>
          <w:cols w:space="720"/>
          <w:noEndnote/>
          <w:docGrid w:linePitch="360"/>
        </w:sectPr>
      </w:pPr>
      <w:r>
        <w:lastRenderedPageBreak/>
        <w:t>Sayı : 27424242-010.07.02[010.07.02]/E.26316 Konu : 2015/32 SAYILI SEKTÖR DUYURUSU</w:t>
      </w:r>
    </w:p>
    <w:p w:rsidR="00C43EFF" w:rsidRDefault="00C43EFF">
      <w:pPr>
        <w:framePr w:w="11904" w:h="550" w:hRule="exact" w:wrap="notBeside" w:vAnchor="text" w:hAnchor="text" w:xAlign="center" w:y="1" w:anchorLock="1"/>
      </w:pPr>
    </w:p>
    <w:p w:rsidR="00C43EFF" w:rsidRDefault="00B1066D">
      <w:pPr>
        <w:rPr>
          <w:sz w:val="2"/>
          <w:szCs w:val="2"/>
        </w:rPr>
        <w:sectPr w:rsidR="00C43EFF">
          <w:type w:val="continuous"/>
          <w:pgSz w:w="11905" w:h="16837"/>
          <w:pgMar w:top="0" w:right="0" w:bottom="0" w:left="0" w:header="0" w:footer="3" w:gutter="0"/>
          <w:cols w:space="720"/>
          <w:noEndnote/>
          <w:docGrid w:linePitch="360"/>
        </w:sectPr>
      </w:pPr>
      <w:r>
        <w:t xml:space="preserve"> </w:t>
      </w:r>
    </w:p>
    <w:p w:rsidR="00C43EFF" w:rsidRDefault="00B1066D">
      <w:pPr>
        <w:pStyle w:val="Gvdemetni0"/>
        <w:shd w:val="clear" w:color="auto" w:fill="auto"/>
        <w:spacing w:line="317" w:lineRule="exact"/>
        <w:ind w:left="240"/>
        <w:jc w:val="center"/>
      </w:pPr>
      <w:r>
        <w:lastRenderedPageBreak/>
        <w:t>TÜRKİYE SİGORTA REASÜRANS VE EMEKLİLİK ŞİRKETLERİ BİRLİĞİ NE BÜYÜKDERE CAD. BÜYÜKDERE PLAZA NO:195 KAT:1-2</w:t>
      </w:r>
    </w:p>
    <w:p w:rsidR="00C43EFF" w:rsidRDefault="00B1066D">
      <w:pPr>
        <w:pStyle w:val="Gvdemetni0"/>
        <w:shd w:val="clear" w:color="auto" w:fill="auto"/>
        <w:spacing w:after="480" w:line="317" w:lineRule="exact"/>
        <w:ind w:left="240"/>
        <w:jc w:val="center"/>
      </w:pPr>
      <w:r>
        <w:t>34394 LEVENT / İSTANBUL</w:t>
      </w:r>
    </w:p>
    <w:p w:rsidR="00C43EFF" w:rsidRDefault="00B1066D">
      <w:pPr>
        <w:pStyle w:val="Gvdemetni0"/>
        <w:shd w:val="clear" w:color="auto" w:fill="auto"/>
        <w:spacing w:after="318" w:line="317" w:lineRule="exact"/>
        <w:ind w:right="300" w:firstLine="720"/>
      </w:pPr>
      <w:r>
        <w:t>Müsteşarlığımızca istihsal edilen 28/08/2015 tarihli ve 2015/32 sayılı sektör duyurusu ilişikte yer almaktadır.</w:t>
      </w:r>
    </w:p>
    <w:p w:rsidR="00C43EFF" w:rsidRDefault="00B1066D">
      <w:pPr>
        <w:pStyle w:val="Gvdemetni0"/>
        <w:framePr w:h="229" w:wrap="around" w:vAnchor="text" w:hAnchor="margin" w:x="2" w:y="1927"/>
        <w:shd w:val="clear" w:color="auto" w:fill="auto"/>
        <w:spacing w:line="220" w:lineRule="exact"/>
      </w:pPr>
      <w:r>
        <w:t>Ek : 1 Sektör Duyurusu</w:t>
      </w:r>
    </w:p>
    <w:p w:rsidR="00C43EFF" w:rsidRDefault="00B1066D">
      <w:pPr>
        <w:pStyle w:val="Gvdemetni0"/>
        <w:shd w:val="clear" w:color="auto" w:fill="auto"/>
        <w:spacing w:after="486" w:line="220" w:lineRule="exact"/>
        <w:ind w:firstLine="720"/>
      </w:pPr>
      <w:r>
        <w:t>Bilgilerini rica ederim.</w:t>
      </w:r>
    </w:p>
    <w:p w:rsidR="00C43EFF" w:rsidRDefault="00B1066D">
      <w:pPr>
        <w:pStyle w:val="Gvdemetni0"/>
        <w:shd w:val="clear" w:color="auto" w:fill="auto"/>
        <w:spacing w:after="111" w:line="220" w:lineRule="exact"/>
        <w:ind w:left="5440" w:firstLine="2560"/>
      </w:pPr>
      <w:r>
        <w:rPr>
          <w:rStyle w:val="Gvdemetni1"/>
        </w:rPr>
        <w:t xml:space="preserve">JJ </w:t>
      </w:r>
      <w:r>
        <w:rPr>
          <w:rStyle w:val="Gvdemetni3"/>
        </w:rPr>
        <w:t>e-imzfllıdır</w:t>
      </w:r>
    </w:p>
    <w:p w:rsidR="00C43EFF" w:rsidRDefault="00B1066D">
      <w:pPr>
        <w:pStyle w:val="Gvdemetni0"/>
        <w:shd w:val="clear" w:color="auto" w:fill="auto"/>
        <w:spacing w:after="6298" w:line="317" w:lineRule="exact"/>
        <w:ind w:left="5440" w:right="300" w:firstLine="2560"/>
      </w:pPr>
      <w:r>
        <w:t>Gökhan KARASU Müsteşar a. Genel Müdür V.</w:t>
      </w:r>
    </w:p>
    <w:p w:rsidR="00C43EFF" w:rsidRDefault="00B1066D">
      <w:pPr>
        <w:pStyle w:val="Gvdemetni31"/>
        <w:shd w:val="clear" w:color="auto" w:fill="auto"/>
        <w:spacing w:before="0" w:line="170" w:lineRule="exact"/>
        <w:ind w:left="240"/>
        <w:sectPr w:rsidR="00C43EFF">
          <w:type w:val="continuous"/>
          <w:pgSz w:w="11905" w:h="16837"/>
          <w:pgMar w:top="1075" w:right="946" w:bottom="917" w:left="1157" w:header="0" w:footer="3" w:gutter="0"/>
          <w:cols w:space="720"/>
          <w:noEndnote/>
          <w:docGrid w:linePitch="360"/>
        </w:sectPr>
      </w:pPr>
      <w:r>
        <w:rPr>
          <w:rStyle w:val="Gvdemetni32"/>
        </w:rPr>
        <w:t>Not: 5070 sayılı Elektronik İmza Kanunu çerçevesinde güvenli elektronik imzalı aslı ile aynıdır.</w:t>
      </w:r>
    </w:p>
    <w:p w:rsidR="00C43EFF" w:rsidRDefault="00C43EFF">
      <w:pPr>
        <w:framePr w:w="11904" w:h="241" w:hRule="exact" w:wrap="notBeside" w:vAnchor="text" w:hAnchor="text" w:xAlign="center" w:y="1" w:anchorLock="1"/>
      </w:pPr>
    </w:p>
    <w:p w:rsidR="00C43EFF" w:rsidRDefault="00B1066D">
      <w:pPr>
        <w:rPr>
          <w:sz w:val="2"/>
          <w:szCs w:val="2"/>
        </w:rPr>
        <w:sectPr w:rsidR="00C43EFF">
          <w:type w:val="continuous"/>
          <w:pgSz w:w="11905" w:h="16837"/>
          <w:pgMar w:top="0" w:right="0" w:bottom="0" w:left="0" w:header="0" w:footer="3" w:gutter="0"/>
          <w:cols w:space="720"/>
          <w:noEndnote/>
          <w:docGrid w:linePitch="360"/>
        </w:sectPr>
      </w:pPr>
      <w:r>
        <w:t xml:space="preserve"> </w:t>
      </w:r>
    </w:p>
    <w:p w:rsidR="00C43EFF" w:rsidRDefault="00B1066D">
      <w:pPr>
        <w:pStyle w:val="Gvdemetni31"/>
        <w:shd w:val="clear" w:color="auto" w:fill="auto"/>
        <w:spacing w:before="0" w:line="178" w:lineRule="exact"/>
        <w:ind w:right="200"/>
        <w:jc w:val="left"/>
      </w:pPr>
      <w:r>
        <w:lastRenderedPageBreak/>
        <w:t>T.C. Başbakanlık Hazine Müsteşarlığı, İnönü Bulvarı, No:36 06510, Emek. ÇANKAYA/ANKARA</w:t>
      </w:r>
    </w:p>
    <w:p w:rsidR="00C43EFF" w:rsidRDefault="00B1066D">
      <w:pPr>
        <w:pStyle w:val="Gvdemetni31"/>
        <w:framePr w:w="2099" w:h="352" w:wrap="around" w:hAnchor="margin" w:x="7377" w:y="14126"/>
        <w:shd w:val="clear" w:color="auto" w:fill="auto"/>
        <w:spacing w:before="0" w:line="170" w:lineRule="exact"/>
        <w:ind w:left="100"/>
        <w:jc w:val="left"/>
      </w:pPr>
      <w:r>
        <w:t>Bilgi için:MEHMET ATEŞ</w:t>
      </w:r>
    </w:p>
    <w:p w:rsidR="00C43EFF" w:rsidRDefault="00B1066D">
      <w:pPr>
        <w:pStyle w:val="Gvdemetni31"/>
        <w:framePr w:w="2099" w:h="352" w:wrap="around" w:hAnchor="margin" w:x="7377" w:y="14126"/>
        <w:shd w:val="clear" w:color="auto" w:fill="auto"/>
        <w:spacing w:before="0" w:line="170" w:lineRule="exact"/>
        <w:ind w:left="980"/>
        <w:jc w:val="left"/>
      </w:pPr>
      <w:r>
        <w:t>Hazine Uzmanı</w:t>
      </w:r>
    </w:p>
    <w:p w:rsidR="00C43EFF" w:rsidRDefault="00B1066D">
      <w:pPr>
        <w:pStyle w:val="Gvdemetni31"/>
        <w:shd w:val="clear" w:color="auto" w:fill="auto"/>
        <w:spacing w:before="0" w:line="178" w:lineRule="exact"/>
        <w:ind w:right="200"/>
        <w:jc w:val="left"/>
        <w:sectPr w:rsidR="00C43EFF">
          <w:type w:val="continuous"/>
          <w:pgSz w:w="11905" w:h="16837"/>
          <w:pgMar w:top="1075" w:right="5063" w:bottom="917" w:left="1219" w:header="0" w:footer="3" w:gutter="0"/>
          <w:cols w:space="720"/>
          <w:noEndnote/>
          <w:docGrid w:linePitch="360"/>
        </w:sectPr>
      </w:pPr>
      <w:r>
        <w:t xml:space="preserve">Telefon No: +90 (312) 204 6000 Belge Geçer No: +90 (312) 204 6644 e-posta: </w:t>
      </w:r>
      <w:hyperlink r:id="rId7" w:history="1">
        <w:r>
          <w:rPr>
            <w:rStyle w:val="Kpr"/>
            <w:lang w:val="en-US"/>
          </w:rPr>
          <w:t>bilgiedinme@hazine.gov.tr</w:t>
        </w:r>
      </w:hyperlink>
      <w:r>
        <w:rPr>
          <w:lang w:val="en-US"/>
        </w:rPr>
        <w:t xml:space="preserve"> </w:t>
      </w:r>
      <w:r>
        <w:t xml:space="preserve">internet adresi: </w:t>
      </w:r>
      <w:hyperlink r:id="rId8" w:history="1">
        <w:r>
          <w:rPr>
            <w:rStyle w:val="Kpr"/>
            <w:lang w:val="en-US"/>
          </w:rPr>
          <w:t>www.hazine.gov.tr</w:t>
        </w:r>
      </w:hyperlink>
    </w:p>
    <w:p w:rsidR="00C43EFF" w:rsidRDefault="00B1066D">
      <w:pPr>
        <w:pStyle w:val="Gvdemetni40"/>
        <w:framePr w:h="310" w:wrap="around" w:hAnchor="margin" w:x="7819" w:y="2"/>
        <w:shd w:val="clear" w:color="auto" w:fill="auto"/>
        <w:spacing w:line="230" w:lineRule="exact"/>
        <w:ind w:left="100"/>
      </w:pPr>
      <w:r>
        <w:lastRenderedPageBreak/>
        <w:t>¿£/Cff/2015</w:t>
      </w:r>
    </w:p>
    <w:p w:rsidR="00C43EFF" w:rsidRDefault="00B1066D">
      <w:pPr>
        <w:pStyle w:val="Balk10"/>
        <w:keepNext/>
        <w:keepLines/>
        <w:shd w:val="clear" w:color="auto" w:fill="auto"/>
        <w:spacing w:line="230" w:lineRule="exact"/>
        <w:sectPr w:rsidR="00C43EFF">
          <w:pgSz w:w="11905" w:h="16837"/>
          <w:pgMar w:top="1737" w:right="7450" w:bottom="5764" w:left="1666" w:header="0" w:footer="3" w:gutter="0"/>
          <w:cols w:space="720"/>
          <w:noEndnote/>
          <w:docGrid w:linePitch="360"/>
        </w:sectPr>
      </w:pPr>
      <w:bookmarkStart w:id="1" w:name="bookmark0"/>
      <w:r>
        <w:rPr>
          <w:rStyle w:val="Balk11"/>
        </w:rPr>
        <w:lastRenderedPageBreak/>
        <w:t>Hazine Müsteşarlığından</w:t>
      </w:r>
      <w:bookmarkEnd w:id="1"/>
    </w:p>
    <w:p w:rsidR="00C43EFF" w:rsidRDefault="00C43EFF">
      <w:pPr>
        <w:framePr w:w="11904" w:h="813" w:hRule="exact" w:wrap="notBeside" w:vAnchor="text" w:hAnchor="text" w:xAlign="center" w:y="1" w:anchorLock="1"/>
      </w:pPr>
    </w:p>
    <w:p w:rsidR="00C43EFF" w:rsidRDefault="00B1066D">
      <w:pPr>
        <w:rPr>
          <w:sz w:val="2"/>
          <w:szCs w:val="2"/>
        </w:rPr>
        <w:sectPr w:rsidR="00C43EFF">
          <w:type w:val="continuous"/>
          <w:pgSz w:w="11905" w:h="16837"/>
          <w:pgMar w:top="0" w:right="0" w:bottom="0" w:left="0" w:header="0" w:footer="3" w:gutter="0"/>
          <w:cols w:space="720"/>
          <w:noEndnote/>
          <w:docGrid w:linePitch="360"/>
        </w:sectPr>
      </w:pPr>
      <w:r>
        <w:t xml:space="preserve"> </w:t>
      </w:r>
    </w:p>
    <w:p w:rsidR="00C43EFF" w:rsidRDefault="00B1066D">
      <w:pPr>
        <w:pStyle w:val="Balk10"/>
        <w:keepNext/>
        <w:keepLines/>
        <w:shd w:val="clear" w:color="auto" w:fill="auto"/>
        <w:spacing w:line="264" w:lineRule="exact"/>
        <w:jc w:val="center"/>
      </w:pPr>
      <w:bookmarkStart w:id="2" w:name="bookmark1"/>
      <w:r>
        <w:lastRenderedPageBreak/>
        <w:t>Kara Araçları Kasko Sigortası B.3.-3.3.1.1. Maddesi Çerç</w:t>
      </w:r>
      <w:r>
        <w:t>evesinde Referans Rayiç Değe ' "dn Sektör Duyurusu</w:t>
      </w:r>
      <w:bookmarkEnd w:id="2"/>
    </w:p>
    <w:p w:rsidR="00C43EFF" w:rsidRDefault="00506677">
      <w:pPr>
        <w:framePr w:wrap="notBeside" w:vAnchor="text" w:hAnchor="text" w:xAlign="center" w:y="1"/>
        <w:jc w:val="center"/>
        <w:rPr>
          <w:sz w:val="0"/>
          <w:szCs w:val="0"/>
        </w:rPr>
      </w:pPr>
      <w:r>
        <w:rPr>
          <w:noProof/>
          <w:lang w:val="tr-TR"/>
        </w:rPr>
        <w:drawing>
          <wp:inline distT="0" distB="0" distL="0" distR="0">
            <wp:extent cx="589915" cy="265430"/>
            <wp:effectExtent l="0" t="0" r="635" b="1270"/>
            <wp:docPr id="1" name="Resim 1" descr="C:\Users\MEHMET~1.BI~\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1.BI~\AppData\Local\Temp\FineReader1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915" cy="265430"/>
                    </a:xfrm>
                    <a:prstGeom prst="rect">
                      <a:avLst/>
                    </a:prstGeom>
                    <a:noFill/>
                    <a:ln>
                      <a:noFill/>
                    </a:ln>
                  </pic:spPr>
                </pic:pic>
              </a:graphicData>
            </a:graphic>
          </wp:inline>
        </w:drawing>
      </w:r>
    </w:p>
    <w:p w:rsidR="00C43EFF" w:rsidRDefault="00C43EFF">
      <w:pPr>
        <w:rPr>
          <w:sz w:val="2"/>
          <w:szCs w:val="2"/>
        </w:rPr>
      </w:pPr>
    </w:p>
    <w:p w:rsidR="00C43EFF" w:rsidRDefault="00B1066D">
      <w:pPr>
        <w:pStyle w:val="Gvdemetni0"/>
        <w:shd w:val="clear" w:color="auto" w:fill="auto"/>
        <w:spacing w:before="493" w:after="240" w:line="269" w:lineRule="exact"/>
        <w:ind w:left="20" w:right="20" w:firstLine="700"/>
        <w:jc w:val="both"/>
      </w:pPr>
      <w:r>
        <w:t>Bilindiği üzere 01 Nisan 2013 tarihinde yürürlüğe giren Kara Araçları Kasko Sigortası Genel Şartlarının, 21.04.2015 tarihli ve 2015/20 sayılı sektör duyurusu eki ile değişik B.3.-3.3.1.1. maddesinde;</w:t>
      </w:r>
    </w:p>
    <w:p w:rsidR="00C43EFF" w:rsidRDefault="00B1066D">
      <w:pPr>
        <w:pStyle w:val="Gvdemetni0"/>
        <w:shd w:val="clear" w:color="auto" w:fill="auto"/>
        <w:spacing w:after="240" w:line="269" w:lineRule="exact"/>
        <w:ind w:left="20" w:right="20" w:firstLine="700"/>
        <w:jc w:val="both"/>
      </w:pPr>
      <w:r>
        <w:t>"Sigorta şirketi aracı hasar tarihi itibariyle rayiç değ</w:t>
      </w:r>
      <w:r>
        <w:t>erine kadar teminat altına almıştır. Sigorta tazminatının hesabında sigortalı menfaatlerin rizikonun gerçekleşmesi anındaki rayiç değerleri esas tutulur.</w:t>
      </w:r>
    </w:p>
    <w:p w:rsidR="00C43EFF" w:rsidRDefault="00B1066D">
      <w:pPr>
        <w:pStyle w:val="Gvdemetni0"/>
        <w:shd w:val="clear" w:color="auto" w:fill="auto"/>
        <w:spacing w:after="279" w:line="269" w:lineRule="exact"/>
        <w:ind w:left="20" w:right="20" w:firstLine="700"/>
        <w:jc w:val="both"/>
      </w:pPr>
      <w:r>
        <w:t>Rayiç değer için esas alınacak referansa veya rayiç değeri belirleme yöntemine poliçede yer verilir. B</w:t>
      </w:r>
      <w:r>
        <w:t>u yönde bir referans belirlenmemişse veya bu belirleme somut değilse Hazine Müsteşarlığınca tespit edilecek kurallar çerçevesinde belirlenecek referans rayiç değerler esas alınır."</w:t>
      </w:r>
    </w:p>
    <w:p w:rsidR="00C43EFF" w:rsidRDefault="00B1066D">
      <w:pPr>
        <w:pStyle w:val="Gvdemetni0"/>
        <w:shd w:val="clear" w:color="auto" w:fill="auto"/>
        <w:spacing w:after="209" w:line="220" w:lineRule="exact"/>
        <w:jc w:val="center"/>
      </w:pPr>
      <w:r>
        <w:t>esası öngörülmüş olup mezkur hüküm 01.09.2015 tarihi itibarıyla yürürlüğe g</w:t>
      </w:r>
      <w:r>
        <w:t>irecektir.</w:t>
      </w:r>
    </w:p>
    <w:p w:rsidR="00C43EFF" w:rsidRDefault="00B1066D">
      <w:pPr>
        <w:pStyle w:val="Gvdemetni50"/>
        <w:framePr w:h="100" w:wrap="around" w:hAnchor="margin" w:x="-177" w:y="1390"/>
        <w:shd w:val="clear" w:color="auto" w:fill="auto"/>
        <w:spacing w:line="100" w:lineRule="exact"/>
      </w:pPr>
      <w:r>
        <w:t>C</w:t>
      </w:r>
    </w:p>
    <w:p w:rsidR="00C43EFF" w:rsidRDefault="00B1066D">
      <w:pPr>
        <w:pStyle w:val="Gvdemetni0"/>
        <w:shd w:val="clear" w:color="auto" w:fill="auto"/>
        <w:spacing w:after="66" w:line="269" w:lineRule="exact"/>
        <w:ind w:left="20" w:right="20" w:firstLine="700"/>
        <w:jc w:val="both"/>
      </w:pPr>
      <w:r>
        <w:t>Bu çerçevede rayiç değer için esas alınacak referansa veya rayiç değeri belirleme yöntemine poliçede yer verilmemişse veya bu belirleme somut değilse, ilgili hasara ilişkin eksper raporunda yer alan rayiç değer esas alınır.</w:t>
      </w:r>
    </w:p>
    <w:p w:rsidR="00C43EFF" w:rsidRDefault="00506677">
      <w:pPr>
        <w:framePr w:wrap="notBeside" w:vAnchor="text" w:hAnchor="text" w:xAlign="center" w:y="1"/>
        <w:jc w:val="center"/>
        <w:rPr>
          <w:sz w:val="0"/>
          <w:szCs w:val="0"/>
        </w:rPr>
      </w:pPr>
      <w:r>
        <w:rPr>
          <w:noProof/>
          <w:lang w:val="tr-TR"/>
        </w:rPr>
        <w:drawing>
          <wp:inline distT="0" distB="0" distL="0" distR="0">
            <wp:extent cx="1283335" cy="1253490"/>
            <wp:effectExtent l="0" t="0" r="0" b="3810"/>
            <wp:docPr id="2" name="Resim 2" descr="C:\Users\MEHMET~1.BI~\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MET~1.BI~\AppData\Local\Temp\FineReader1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3335" cy="1253490"/>
                    </a:xfrm>
                    <a:prstGeom prst="rect">
                      <a:avLst/>
                    </a:prstGeom>
                    <a:noFill/>
                    <a:ln>
                      <a:noFill/>
                    </a:ln>
                  </pic:spPr>
                </pic:pic>
              </a:graphicData>
            </a:graphic>
          </wp:inline>
        </w:drawing>
      </w:r>
    </w:p>
    <w:p w:rsidR="00C43EFF" w:rsidRDefault="00C43EFF">
      <w:pPr>
        <w:rPr>
          <w:sz w:val="2"/>
          <w:szCs w:val="2"/>
        </w:rPr>
      </w:pPr>
    </w:p>
    <w:sectPr w:rsidR="00C43EFF">
      <w:type w:val="continuous"/>
      <w:pgSz w:w="11905" w:h="16837"/>
      <w:pgMar w:top="1737" w:right="869" w:bottom="5764" w:left="16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6D" w:rsidRDefault="00B1066D">
      <w:r>
        <w:separator/>
      </w:r>
    </w:p>
  </w:endnote>
  <w:endnote w:type="continuationSeparator" w:id="0">
    <w:p w:rsidR="00B1066D" w:rsidRDefault="00B1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6D" w:rsidRDefault="00B1066D"/>
  </w:footnote>
  <w:footnote w:type="continuationSeparator" w:id="0">
    <w:p w:rsidR="00B1066D" w:rsidRDefault="00B1066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FF"/>
    <w:rsid w:val="00506677"/>
    <w:rsid w:val="00B1066D"/>
    <w:rsid w:val="00C43E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0"/>
      <w:szCs w:val="20"/>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20"/>
      <w:szCs w:val="20"/>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30">
    <w:name w:val="Gövde metni (3)_"/>
    <w:basedOn w:val="VarsaylanParagrafYazTipi"/>
    <w:link w:val="Gvdemetni31"/>
    <w:rPr>
      <w:rFonts w:ascii="Times New Roman" w:eastAsia="Times New Roman" w:hAnsi="Times New Roman" w:cs="Times New Roman"/>
      <w:b w:val="0"/>
      <w:bCs w:val="0"/>
      <w:i w:val="0"/>
      <w:iCs w:val="0"/>
      <w:smallCaps w:val="0"/>
      <w:strike w:val="0"/>
      <w:spacing w:val="0"/>
      <w:sz w:val="17"/>
      <w:szCs w:val="17"/>
    </w:rPr>
  </w:style>
  <w:style w:type="character" w:customStyle="1" w:styleId="Gvdemetni32">
    <w:name w:val="Gövde metni (3)"/>
    <w:basedOn w:val="Gvdemetni30"/>
    <w:rPr>
      <w:rFonts w:ascii="Times New Roman" w:eastAsia="Times New Roman" w:hAnsi="Times New Roman" w:cs="Times New Roman"/>
      <w:b w:val="0"/>
      <w:bCs w:val="0"/>
      <w:i w:val="0"/>
      <w:iCs w:val="0"/>
      <w:smallCaps w:val="0"/>
      <w:strike w:val="0"/>
      <w:spacing w:val="0"/>
      <w:sz w:val="17"/>
      <w:szCs w:val="17"/>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pacing w:val="0"/>
      <w:sz w:val="23"/>
      <w:szCs w:val="23"/>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3"/>
      <w:szCs w:val="23"/>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10"/>
      <w:szCs w:val="10"/>
    </w:rPr>
  </w:style>
  <w:style w:type="paragraph" w:customStyle="1" w:styleId="Gvdemetni0">
    <w:name w:val="Gövde metni"/>
    <w:basedOn w:val="Normal"/>
    <w:link w:val="Gvdemetni"/>
    <w:pPr>
      <w:shd w:val="clear" w:color="auto" w:fill="FFFFFF"/>
      <w:spacing w:line="235" w:lineRule="exact"/>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180" w:line="0" w:lineRule="atLeast"/>
    </w:pPr>
    <w:rPr>
      <w:rFonts w:ascii="Times New Roman" w:eastAsia="Times New Roman" w:hAnsi="Times New Roman" w:cs="Times New Roman"/>
      <w:sz w:val="20"/>
      <w:szCs w:val="20"/>
    </w:rPr>
  </w:style>
  <w:style w:type="paragraph" w:customStyle="1" w:styleId="Gvdemetni31">
    <w:name w:val="Gövde metni (3)"/>
    <w:basedOn w:val="Normal"/>
    <w:link w:val="Gvdemetni30"/>
    <w:pPr>
      <w:shd w:val="clear" w:color="auto" w:fill="FFFFFF"/>
      <w:spacing w:before="6180" w:line="0" w:lineRule="atLeast"/>
      <w:jc w:val="center"/>
    </w:pPr>
    <w:rPr>
      <w:rFonts w:ascii="Times New Roman" w:eastAsia="Times New Roman" w:hAnsi="Times New Roman" w:cs="Times New Roman"/>
      <w:sz w:val="17"/>
      <w:szCs w:val="17"/>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3"/>
      <w:szCs w:val="23"/>
    </w:rPr>
  </w:style>
  <w:style w:type="paragraph" w:customStyle="1" w:styleId="Balk10">
    <w:name w:val="Başlık #1"/>
    <w:basedOn w:val="Normal"/>
    <w:link w:val="Balk1"/>
    <w:pPr>
      <w:shd w:val="clear" w:color="auto" w:fill="FFFFFF"/>
      <w:spacing w:line="0" w:lineRule="atLeast"/>
      <w:outlineLvl w:val="0"/>
    </w:pPr>
    <w:rPr>
      <w:rFonts w:ascii="Times New Roman" w:eastAsia="Times New Roman" w:hAnsi="Times New Roman" w:cs="Times New Roman"/>
      <w:b/>
      <w:bCs/>
      <w:sz w:val="23"/>
      <w:szCs w:val="23"/>
    </w:rPr>
  </w:style>
  <w:style w:type="paragraph" w:customStyle="1" w:styleId="Gvdemetni50">
    <w:name w:val="Gövde metni (5)"/>
    <w:basedOn w:val="Normal"/>
    <w:link w:val="Gvdemetni5"/>
    <w:pPr>
      <w:shd w:val="clear" w:color="auto" w:fill="FFFFFF"/>
      <w:spacing w:line="0" w:lineRule="atLeast"/>
    </w:pPr>
    <w:rPr>
      <w:rFonts w:ascii="Times New Roman" w:eastAsia="Times New Roman" w:hAnsi="Times New Roman" w:cs="Times New Roman"/>
      <w:i/>
      <w:iCs/>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0"/>
      <w:szCs w:val="20"/>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20"/>
      <w:szCs w:val="20"/>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30">
    <w:name w:val="Gövde metni (3)_"/>
    <w:basedOn w:val="VarsaylanParagrafYazTipi"/>
    <w:link w:val="Gvdemetni31"/>
    <w:rPr>
      <w:rFonts w:ascii="Times New Roman" w:eastAsia="Times New Roman" w:hAnsi="Times New Roman" w:cs="Times New Roman"/>
      <w:b w:val="0"/>
      <w:bCs w:val="0"/>
      <w:i w:val="0"/>
      <w:iCs w:val="0"/>
      <w:smallCaps w:val="0"/>
      <w:strike w:val="0"/>
      <w:spacing w:val="0"/>
      <w:sz w:val="17"/>
      <w:szCs w:val="17"/>
    </w:rPr>
  </w:style>
  <w:style w:type="character" w:customStyle="1" w:styleId="Gvdemetni32">
    <w:name w:val="Gövde metni (3)"/>
    <w:basedOn w:val="Gvdemetni30"/>
    <w:rPr>
      <w:rFonts w:ascii="Times New Roman" w:eastAsia="Times New Roman" w:hAnsi="Times New Roman" w:cs="Times New Roman"/>
      <w:b w:val="0"/>
      <w:bCs w:val="0"/>
      <w:i w:val="0"/>
      <w:iCs w:val="0"/>
      <w:smallCaps w:val="0"/>
      <w:strike w:val="0"/>
      <w:spacing w:val="0"/>
      <w:sz w:val="17"/>
      <w:szCs w:val="17"/>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pacing w:val="0"/>
      <w:sz w:val="23"/>
      <w:szCs w:val="23"/>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3"/>
      <w:szCs w:val="23"/>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10"/>
      <w:szCs w:val="10"/>
    </w:rPr>
  </w:style>
  <w:style w:type="paragraph" w:customStyle="1" w:styleId="Gvdemetni0">
    <w:name w:val="Gövde metni"/>
    <w:basedOn w:val="Normal"/>
    <w:link w:val="Gvdemetni"/>
    <w:pPr>
      <w:shd w:val="clear" w:color="auto" w:fill="FFFFFF"/>
      <w:spacing w:line="235" w:lineRule="exact"/>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before="180" w:line="0" w:lineRule="atLeast"/>
    </w:pPr>
    <w:rPr>
      <w:rFonts w:ascii="Times New Roman" w:eastAsia="Times New Roman" w:hAnsi="Times New Roman" w:cs="Times New Roman"/>
      <w:sz w:val="20"/>
      <w:szCs w:val="20"/>
    </w:rPr>
  </w:style>
  <w:style w:type="paragraph" w:customStyle="1" w:styleId="Gvdemetni31">
    <w:name w:val="Gövde metni (3)"/>
    <w:basedOn w:val="Normal"/>
    <w:link w:val="Gvdemetni30"/>
    <w:pPr>
      <w:shd w:val="clear" w:color="auto" w:fill="FFFFFF"/>
      <w:spacing w:before="6180" w:line="0" w:lineRule="atLeast"/>
      <w:jc w:val="center"/>
    </w:pPr>
    <w:rPr>
      <w:rFonts w:ascii="Times New Roman" w:eastAsia="Times New Roman" w:hAnsi="Times New Roman" w:cs="Times New Roman"/>
      <w:sz w:val="17"/>
      <w:szCs w:val="17"/>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3"/>
      <w:szCs w:val="23"/>
    </w:rPr>
  </w:style>
  <w:style w:type="paragraph" w:customStyle="1" w:styleId="Balk10">
    <w:name w:val="Başlık #1"/>
    <w:basedOn w:val="Normal"/>
    <w:link w:val="Balk1"/>
    <w:pPr>
      <w:shd w:val="clear" w:color="auto" w:fill="FFFFFF"/>
      <w:spacing w:line="0" w:lineRule="atLeast"/>
      <w:outlineLvl w:val="0"/>
    </w:pPr>
    <w:rPr>
      <w:rFonts w:ascii="Times New Roman" w:eastAsia="Times New Roman" w:hAnsi="Times New Roman" w:cs="Times New Roman"/>
      <w:b/>
      <w:bCs/>
      <w:sz w:val="23"/>
      <w:szCs w:val="23"/>
    </w:rPr>
  </w:style>
  <w:style w:type="paragraph" w:customStyle="1" w:styleId="Gvdemetni50">
    <w:name w:val="Gövde metni (5)"/>
    <w:basedOn w:val="Normal"/>
    <w:link w:val="Gvdemetni5"/>
    <w:pPr>
      <w:shd w:val="clear" w:color="auto" w:fill="FFFFFF"/>
      <w:spacing w:line="0" w:lineRule="atLeast"/>
    </w:pPr>
    <w:rPr>
      <w:rFonts w:ascii="Times New Roman" w:eastAsia="Times New Roman" w:hAnsi="Times New Roman" w:cs="Times New Roman"/>
      <w:i/>
      <w:iCs/>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zine.gov.tr" TargetMode="External"/><Relationship Id="rId3" Type="http://schemas.openxmlformats.org/officeDocument/2006/relationships/settings" Target="settings.xml"/><Relationship Id="rId7" Type="http://schemas.openxmlformats.org/officeDocument/2006/relationships/hyperlink" Target="mailto:bilgiedinme@hazine.gov.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mehmetgokhan</dc:creator>
  <cp:lastModifiedBy>mehmetgokhan</cp:lastModifiedBy>
  <cp:revision>1</cp:revision>
  <dcterms:created xsi:type="dcterms:W3CDTF">2015-10-05T12:05:00Z</dcterms:created>
  <dcterms:modified xsi:type="dcterms:W3CDTF">2015-10-05T12:06:00Z</dcterms:modified>
</cp:coreProperties>
</file>