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8C" w:rsidRDefault="005715A0">
      <w:pPr>
        <w:pStyle w:val="Gvdemetni0"/>
        <w:shd w:val="clear" w:color="auto" w:fill="auto"/>
        <w:ind w:left="4540"/>
      </w:pPr>
      <w:bookmarkStart w:id="0" w:name="_GoBack"/>
      <w:bookmarkEnd w:id="0"/>
      <w:r>
        <w:t>T.C.</w:t>
      </w:r>
    </w:p>
    <w:p w:rsidR="00BF518C" w:rsidRDefault="005715A0">
      <w:pPr>
        <w:pStyle w:val="Gvdemetni0"/>
        <w:shd w:val="clear" w:color="auto" w:fill="auto"/>
        <w:spacing w:after="669"/>
        <w:ind w:left="3840" w:right="4160"/>
        <w:jc w:val="right"/>
      </w:pPr>
      <w:r>
        <w:t>BAŞBAKANLIK Hazine Müsteşarlığı</w:t>
      </w:r>
    </w:p>
    <w:p w:rsidR="00BF518C" w:rsidRDefault="005715A0">
      <w:pPr>
        <w:pStyle w:val="Gvdemetni0"/>
        <w:shd w:val="clear" w:color="auto" w:fill="auto"/>
        <w:spacing w:after="530" w:line="374" w:lineRule="exact"/>
        <w:ind w:left="20" w:right="6240"/>
      </w:pPr>
      <w:r>
        <w:t>Sayı : 38681552-306.99[306.99]/ Konu : Sektör Duyurusu</w:t>
      </w:r>
    </w:p>
    <w:p w:rsidR="00BF518C" w:rsidRDefault="005715A0">
      <w:pPr>
        <w:pStyle w:val="Gvdemetni0"/>
        <w:shd w:val="clear" w:color="auto" w:fill="auto"/>
        <w:spacing w:after="540" w:line="312" w:lineRule="exact"/>
        <w:ind w:left="700" w:right="920"/>
        <w:jc w:val="right"/>
      </w:pPr>
      <w:r>
        <w:t>TÜRKİYE SİGORTA, EMEKLİLİK VE REASÜRANS ŞİRKETLERİ BİRLİĞİNE BÜYÜKDERE CAD.BÜYÜKDERE PLAZNO:195 KAT:l-2 LEVENT / İSTANBUL</w:t>
      </w:r>
    </w:p>
    <w:p w:rsidR="00BF518C" w:rsidRDefault="005715A0">
      <w:pPr>
        <w:pStyle w:val="Gvdemetni0"/>
        <w:shd w:val="clear" w:color="auto" w:fill="auto"/>
        <w:spacing w:after="254" w:line="312" w:lineRule="exact"/>
        <w:ind w:left="20" w:right="260" w:firstLine="680"/>
      </w:pPr>
      <w:r>
        <w:t>"</w:t>
      </w:r>
      <w:r>
        <w:t>Devam Eden Riskler Karşılığı Hesabına İlişkin Sektör Duyurusu (2015/30)" ekte gönderilmektedir.</w:t>
      </w:r>
    </w:p>
    <w:p w:rsidR="00BF518C" w:rsidRDefault="005715A0">
      <w:pPr>
        <w:pStyle w:val="Gvdemetni0"/>
        <w:shd w:val="clear" w:color="auto" w:fill="auto"/>
        <w:spacing w:line="220" w:lineRule="exact"/>
        <w:ind w:left="20" w:firstLine="680"/>
      </w:pPr>
      <w:r>
        <w:t>Bilgi edinilmesini rica ederim.</w:t>
      </w:r>
    </w:p>
    <w:p w:rsidR="00BF518C" w:rsidRDefault="00066A1E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tr-TR"/>
        </w:rPr>
        <w:drawing>
          <wp:inline distT="0" distB="0" distL="0" distR="0">
            <wp:extent cx="1887855" cy="1327150"/>
            <wp:effectExtent l="0" t="0" r="0" b="6350"/>
            <wp:docPr id="1" name="Resim 1" descr="C:\Users\MEHMET~1.BI~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HMET~1.BI~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18C" w:rsidRDefault="00BF518C">
      <w:pPr>
        <w:rPr>
          <w:sz w:val="2"/>
          <w:szCs w:val="2"/>
        </w:rPr>
      </w:pPr>
    </w:p>
    <w:p w:rsidR="00BF518C" w:rsidRDefault="005715A0">
      <w:pPr>
        <w:pStyle w:val="Gvdemetni0"/>
        <w:shd w:val="clear" w:color="auto" w:fill="auto"/>
        <w:spacing w:before="167" w:after="128" w:line="220" w:lineRule="exact"/>
        <w:ind w:left="20"/>
      </w:pPr>
      <w:r>
        <w:t>EK :</w:t>
      </w:r>
    </w:p>
    <w:p w:rsidR="00BF518C" w:rsidRDefault="005715A0">
      <w:pPr>
        <w:pStyle w:val="Gvdemetni0"/>
        <w:shd w:val="clear" w:color="auto" w:fill="auto"/>
        <w:spacing w:line="220" w:lineRule="exact"/>
        <w:ind w:left="20"/>
        <w:sectPr w:rsidR="00BF518C">
          <w:type w:val="continuous"/>
          <w:pgSz w:w="11905" w:h="16837"/>
          <w:pgMar w:top="1040" w:right="399" w:bottom="1035" w:left="1700" w:header="0" w:footer="3" w:gutter="0"/>
          <w:cols w:space="720"/>
          <w:noEndnote/>
          <w:docGrid w:linePitch="360"/>
        </w:sectPr>
      </w:pPr>
      <w:r>
        <w:t>Sektör Duyurusu (2015/30)</w:t>
      </w:r>
    </w:p>
    <w:p w:rsidR="00BF518C" w:rsidRDefault="00BF518C">
      <w:pPr>
        <w:framePr w:w="10666" w:h="6132" w:hRule="exact" w:wrap="notBeside" w:vAnchor="text" w:hAnchor="text" w:xAlign="center" w:y="1" w:anchorLock="1"/>
      </w:pPr>
    </w:p>
    <w:p w:rsidR="00BF518C" w:rsidRDefault="005715A0">
      <w:pPr>
        <w:rPr>
          <w:sz w:val="2"/>
          <w:szCs w:val="2"/>
        </w:rPr>
        <w:sectPr w:rsidR="00BF518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F518C" w:rsidRDefault="005715A0">
      <w:pPr>
        <w:pStyle w:val="Gvdemetni20"/>
        <w:shd w:val="clear" w:color="auto" w:fill="auto"/>
        <w:ind w:left="20"/>
      </w:pPr>
      <w:r>
        <w:lastRenderedPageBreak/>
        <w:t>T.C. Başbakanlık Mazine Müsteşarlığı, İnönü Bulvarı, No:36 06510, Emek,</w:t>
      </w:r>
    </w:p>
    <w:p w:rsidR="00BF518C" w:rsidRDefault="005715A0">
      <w:pPr>
        <w:pStyle w:val="Gvdemetni20"/>
        <w:shd w:val="clear" w:color="auto" w:fill="auto"/>
        <w:ind w:left="20"/>
      </w:pPr>
      <w:r>
        <w:t>Telefon No : 3122046000 BelgegeçerNo : 3122046644</w:t>
      </w:r>
    </w:p>
    <w:p w:rsidR="00BF518C" w:rsidRDefault="005715A0">
      <w:pPr>
        <w:pStyle w:val="Gvdemetni20"/>
        <w:framePr w:w="1451" w:h="718" w:wrap="around" w:hAnchor="margin" w:x="7564" w:y="14079"/>
        <w:shd w:val="clear" w:color="auto" w:fill="auto"/>
        <w:spacing w:line="130" w:lineRule="exact"/>
        <w:ind w:left="260"/>
      </w:pPr>
      <w:r>
        <w:t>Ayrıntılı bilgi için:</w:t>
      </w:r>
    </w:p>
    <w:p w:rsidR="00BF518C" w:rsidRDefault="005715A0">
      <w:pPr>
        <w:pStyle w:val="Gvdemetni20"/>
        <w:framePr w:w="1451" w:h="718" w:wrap="around" w:hAnchor="margin" w:x="7564" w:y="14079"/>
        <w:shd w:val="clear" w:color="auto" w:fill="auto"/>
        <w:ind w:left="260" w:right="260"/>
        <w:jc w:val="right"/>
      </w:pPr>
      <w:r>
        <w:t>E. USTA Hazine Uzman Yardımcısı</w:t>
      </w:r>
    </w:p>
    <w:p w:rsidR="00BF518C" w:rsidRDefault="005715A0">
      <w:pPr>
        <w:pStyle w:val="Gvdemetni20"/>
        <w:shd w:val="clear" w:color="auto" w:fill="auto"/>
        <w:ind w:left="20"/>
        <w:sectPr w:rsidR="00BF518C">
          <w:type w:val="continuous"/>
          <w:pgSz w:w="11905" w:h="16837"/>
          <w:pgMar w:top="1040" w:right="4157" w:bottom="1035" w:left="2049" w:header="0" w:footer="3" w:gutter="0"/>
          <w:cols w:space="720"/>
          <w:noEndnote/>
          <w:docGrid w:linePitch="360"/>
        </w:sectPr>
      </w:pPr>
      <w:r>
        <w:t>e-posta : bilgiedinmecyOhazine.</w:t>
      </w:r>
      <w:r>
        <w:rPr>
          <w:lang w:val="en-US"/>
        </w:rPr>
        <w:t xml:space="preserve">gov.tr </w:t>
      </w:r>
      <w:r>
        <w:t xml:space="preserve">internet adresi: </w:t>
      </w:r>
      <w:r>
        <w:rPr>
          <w:lang w:val="en-US"/>
        </w:rPr>
        <w:t>wvvw.hazine.gov.tr</w:t>
      </w:r>
    </w:p>
    <w:p w:rsidR="00BF518C" w:rsidRDefault="005715A0">
      <w:pPr>
        <w:pStyle w:val="Balk10"/>
        <w:keepNext/>
        <w:keepLines/>
        <w:shd w:val="clear" w:color="auto" w:fill="auto"/>
        <w:spacing w:after="243" w:line="230" w:lineRule="exact"/>
        <w:ind w:left="20"/>
      </w:pPr>
      <w:bookmarkStart w:id="1" w:name="bookmark0"/>
      <w:r>
        <w:lastRenderedPageBreak/>
        <w:t>DEVAM EDEN RİSKLER KARŞILIĞI HESABINA İLİŞKİN SEKTÖR DUYURUSU</w:t>
      </w:r>
      <w:bookmarkEnd w:id="1"/>
    </w:p>
    <w:p w:rsidR="00BF518C" w:rsidRDefault="005715A0">
      <w:pPr>
        <w:pStyle w:val="Balk120"/>
        <w:keepNext/>
        <w:keepLines/>
        <w:shd w:val="clear" w:color="auto" w:fill="auto"/>
        <w:spacing w:before="0" w:after="179" w:line="230" w:lineRule="exact"/>
        <w:ind w:left="4080"/>
      </w:pPr>
      <w:bookmarkStart w:id="2" w:name="bookmark1"/>
      <w:r>
        <w:t>(2015/30)</w:t>
      </w:r>
      <w:bookmarkEnd w:id="2"/>
    </w:p>
    <w:p w:rsidR="00BF518C" w:rsidRDefault="005715A0">
      <w:pPr>
        <w:pStyle w:val="Gvdemetni0"/>
        <w:shd w:val="clear" w:color="auto" w:fill="auto"/>
        <w:spacing w:after="120" w:line="317" w:lineRule="exact"/>
        <w:ind w:left="20" w:right="20" w:firstLine="700"/>
        <w:jc w:val="both"/>
      </w:pPr>
      <w:r>
        <w:t>Devam eden riskler karşılığı (DERK) hesabında, değiştirilen muallak tazminat karşılığı hesaplama yönteminin yaratacağı yanıltıcı etkinin arındırılmasını teminen, bir önceki dönemin muallak tazminat karşılığı da yeni yöntemle hesaplanmalı ve devreden mualla</w:t>
      </w:r>
      <w:r>
        <w:t>k tazminat karşılığı olarak söz konusu yeni yönteme göre hesaplanmış tutar kullanılmalıdır.</w:t>
      </w:r>
    </w:p>
    <w:p w:rsidR="00BF518C" w:rsidRDefault="005715A0">
      <w:pPr>
        <w:pStyle w:val="Gvdemetni0"/>
        <w:shd w:val="clear" w:color="auto" w:fill="auto"/>
        <w:spacing w:line="317" w:lineRule="exact"/>
        <w:ind w:left="20" w:right="20" w:firstLine="700"/>
        <w:jc w:val="both"/>
      </w:pPr>
      <w:r>
        <w:t>Bu kapsamda, DERK hesaplanırken bir önceki dönemin muallak tazminat karşılığı da cari dönemin muallak tazminat karşılığı için 2014/16 sayılı Genelge kapsamında şirk</w:t>
      </w:r>
      <w:r>
        <w:t>etçe belirlenen oranlar kullanılarak hesaplanır.</w:t>
      </w:r>
    </w:p>
    <w:sectPr w:rsidR="00BF518C">
      <w:pgSz w:w="11905" w:h="16837"/>
      <w:pgMar w:top="6716" w:right="703" w:bottom="6711" w:left="21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A0" w:rsidRDefault="005715A0">
      <w:r>
        <w:separator/>
      </w:r>
    </w:p>
  </w:endnote>
  <w:endnote w:type="continuationSeparator" w:id="0">
    <w:p w:rsidR="005715A0" w:rsidRDefault="0057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A0" w:rsidRDefault="005715A0"/>
  </w:footnote>
  <w:footnote w:type="continuationSeparator" w:id="0">
    <w:p w:rsidR="005715A0" w:rsidRDefault="005715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8C"/>
    <w:rsid w:val="00066A1E"/>
    <w:rsid w:val="005715A0"/>
    <w:rsid w:val="00B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alk12">
    <w:name w:val="Başlık #1 (2)_"/>
    <w:basedOn w:val="VarsaylanParagrafYazTipi"/>
    <w:link w:val="Balk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alk120">
    <w:name w:val="Başlık #1 (2)"/>
    <w:basedOn w:val="Normal"/>
    <w:link w:val="Balk12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alk12">
    <w:name w:val="Başlık #1 (2)_"/>
    <w:basedOn w:val="VarsaylanParagrafYazTipi"/>
    <w:link w:val="Balk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alk120">
    <w:name w:val="Başlık #1 (2)"/>
    <w:basedOn w:val="Normal"/>
    <w:link w:val="Balk12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mehmetgokhan</dc:creator>
  <cp:lastModifiedBy>mehmetgokhan</cp:lastModifiedBy>
  <cp:revision>1</cp:revision>
  <dcterms:created xsi:type="dcterms:W3CDTF">2015-10-05T12:03:00Z</dcterms:created>
  <dcterms:modified xsi:type="dcterms:W3CDTF">2015-10-05T12:04:00Z</dcterms:modified>
</cp:coreProperties>
</file>