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66" w:rsidRDefault="009557C5">
      <w:pPr>
        <w:pStyle w:val="Gvdemetni0"/>
        <w:shd w:val="clear" w:color="auto" w:fill="auto"/>
        <w:ind w:left="300"/>
      </w:pPr>
      <w:bookmarkStart w:id="0" w:name="_GoBack"/>
      <w:bookmarkEnd w:id="0"/>
      <w:r>
        <w:t>T.C.</w:t>
      </w:r>
    </w:p>
    <w:p w:rsidR="007E1966" w:rsidRDefault="009557C5">
      <w:pPr>
        <w:pStyle w:val="Gvdemetni0"/>
        <w:shd w:val="clear" w:color="auto" w:fill="auto"/>
        <w:spacing w:after="669"/>
        <w:ind w:left="300"/>
      </w:pPr>
      <w:r>
        <w:t>BAŞBAKANLIK Hazine Müsteşarlığı</w:t>
      </w:r>
    </w:p>
    <w:p w:rsidR="007E1966" w:rsidRDefault="009557C5">
      <w:pPr>
        <w:pStyle w:val="Gvdemetni0"/>
        <w:shd w:val="clear" w:color="auto" w:fill="auto"/>
        <w:spacing w:after="530" w:line="374" w:lineRule="exact"/>
        <w:ind w:right="6280"/>
        <w:jc w:val="left"/>
      </w:pPr>
      <w:r>
        <w:t>Sayı : 38681552-306.99[306.99]/ Konu : Sektör Duyurusu</w:t>
      </w:r>
    </w:p>
    <w:p w:rsidR="007E1966" w:rsidRDefault="009557C5">
      <w:pPr>
        <w:pStyle w:val="Gvdemetni0"/>
        <w:shd w:val="clear" w:color="auto" w:fill="auto"/>
        <w:spacing w:line="312" w:lineRule="exact"/>
        <w:ind w:left="300"/>
      </w:pPr>
      <w:r>
        <w:t>TÜRKİYE SİGORTA REASÜRANS VE EMEKLİLİK ŞİRKETLERİ BİRLİĞİ NE BÜYÜKDERE CAD. BÜYÜKDERE PLAZA NO: 195 KAT: 1-2</w:t>
      </w:r>
    </w:p>
    <w:p w:rsidR="007E1966" w:rsidRDefault="009557C5">
      <w:pPr>
        <w:pStyle w:val="Gvdemetni0"/>
        <w:shd w:val="clear" w:color="auto" w:fill="auto"/>
        <w:spacing w:after="544" w:line="312" w:lineRule="exact"/>
        <w:ind w:left="300"/>
      </w:pPr>
      <w:r>
        <w:t>34394 LEVENT / İSTANBUL</w:t>
      </w:r>
    </w:p>
    <w:p w:rsidR="007E1966" w:rsidRDefault="009557C5">
      <w:pPr>
        <w:pStyle w:val="Gvdemetni0"/>
        <w:shd w:val="clear" w:color="auto" w:fill="auto"/>
        <w:spacing w:after="310" w:line="307" w:lineRule="exact"/>
        <w:ind w:right="260" w:firstLine="740"/>
        <w:jc w:val="left"/>
      </w:pPr>
      <w:r>
        <w:t>"</w:t>
      </w:r>
      <w:r>
        <w:t>Muallak Tazminat Karşılığına İlişkin Genelgenin (2014/16) Uygulanmasına İlişkin Sektör Duyurusu (2015-29)" ekte gönderilmektedir.</w:t>
      </w:r>
    </w:p>
    <w:p w:rsidR="007E1966" w:rsidRDefault="009557C5">
      <w:pPr>
        <w:pStyle w:val="Gvdemetni0"/>
        <w:shd w:val="clear" w:color="auto" w:fill="auto"/>
        <w:spacing w:line="220" w:lineRule="exact"/>
        <w:ind w:firstLine="740"/>
        <w:jc w:val="left"/>
      </w:pPr>
      <w:r>
        <w:t>Bilgi edinilmesini rica ederim.</w:t>
      </w:r>
    </w:p>
    <w:p w:rsidR="007E1966" w:rsidRDefault="0020756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tr-TR"/>
        </w:rPr>
        <w:drawing>
          <wp:inline distT="0" distB="0" distL="0" distR="0">
            <wp:extent cx="1653540" cy="1082040"/>
            <wp:effectExtent l="0" t="0" r="3810" b="3810"/>
            <wp:docPr id="1" name="Resim 1" descr="C:\Users\MEHMET~1.BI~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~1.BI~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66" w:rsidRDefault="009557C5">
      <w:pPr>
        <w:pStyle w:val="Resimyazs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Genel Müdür V.</w:t>
      </w:r>
    </w:p>
    <w:p w:rsidR="007E1966" w:rsidRDefault="007E1966">
      <w:pPr>
        <w:rPr>
          <w:sz w:val="2"/>
          <w:szCs w:val="2"/>
        </w:rPr>
        <w:sectPr w:rsidR="007E1966">
          <w:type w:val="continuous"/>
          <w:pgSz w:w="11905" w:h="16837"/>
          <w:pgMar w:top="1132" w:right="816" w:bottom="945" w:left="1229" w:header="0" w:footer="3" w:gutter="0"/>
          <w:cols w:space="720"/>
          <w:noEndnote/>
          <w:docGrid w:linePitch="360"/>
        </w:sectPr>
      </w:pPr>
    </w:p>
    <w:p w:rsidR="007E1966" w:rsidRDefault="007E1966">
      <w:pPr>
        <w:framePr w:w="11904" w:h="6559" w:hRule="exact" w:wrap="notBeside" w:vAnchor="text" w:hAnchor="text" w:xAlign="center" w:y="1" w:anchorLock="1"/>
      </w:pPr>
    </w:p>
    <w:p w:rsidR="007E1966" w:rsidRDefault="009557C5">
      <w:pPr>
        <w:rPr>
          <w:sz w:val="2"/>
          <w:szCs w:val="2"/>
        </w:rPr>
        <w:sectPr w:rsidR="007E19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E1966" w:rsidRDefault="009557C5">
      <w:pPr>
        <w:pStyle w:val="Gvdemetni20"/>
        <w:shd w:val="clear" w:color="auto" w:fill="auto"/>
        <w:ind w:left="20"/>
      </w:pPr>
      <w:r>
        <w:lastRenderedPageBreak/>
        <w:t>T.C. Başbakanlık Hazine Müsteşarlığı, İnönü Bulvarı, No:36 06510, Emek,</w:t>
      </w:r>
    </w:p>
    <w:p w:rsidR="007E1966" w:rsidRDefault="009557C5">
      <w:pPr>
        <w:pStyle w:val="Gvdemetni20"/>
        <w:shd w:val="clear" w:color="auto" w:fill="auto"/>
        <w:ind w:left="20"/>
      </w:pPr>
      <w:r>
        <w:t>Telefon No : 3122046000 BelgegeçerNo : 3122046644</w:t>
      </w:r>
    </w:p>
    <w:p w:rsidR="007E1966" w:rsidRDefault="009557C5">
      <w:pPr>
        <w:pStyle w:val="Gvdemetni20"/>
        <w:framePr w:w="1470" w:h="713" w:wrap="around" w:hAnchor="margin" w:x="7819" w:y="14084"/>
        <w:shd w:val="clear" w:color="auto" w:fill="auto"/>
        <w:spacing w:line="140" w:lineRule="exact"/>
        <w:ind w:left="260"/>
      </w:pPr>
      <w:r>
        <w:t>Ayrıntılı bilgi için:</w:t>
      </w:r>
    </w:p>
    <w:p w:rsidR="007E1966" w:rsidRDefault="009557C5">
      <w:pPr>
        <w:pStyle w:val="Gvdemetni20"/>
        <w:framePr w:w="1470" w:h="713" w:wrap="around" w:hAnchor="margin" w:x="7819" w:y="14084"/>
        <w:shd w:val="clear" w:color="auto" w:fill="auto"/>
        <w:spacing w:line="182" w:lineRule="exact"/>
        <w:ind w:left="260" w:right="260"/>
        <w:jc w:val="right"/>
      </w:pPr>
      <w:r>
        <w:t>E.USTA Mazine Uzman Yardımcısı</w:t>
      </w:r>
    </w:p>
    <w:p w:rsidR="007E1966" w:rsidRDefault="009557C5">
      <w:pPr>
        <w:pStyle w:val="Gvdemetni20"/>
        <w:shd w:val="clear" w:color="auto" w:fill="auto"/>
        <w:ind w:left="20"/>
        <w:sectPr w:rsidR="007E1966">
          <w:type w:val="continuous"/>
          <w:pgSz w:w="11905" w:h="16837"/>
          <w:pgMar w:top="1132" w:right="4871" w:bottom="945" w:left="1310" w:header="0" w:footer="3" w:gutter="0"/>
          <w:cols w:space="720"/>
          <w:noEndnote/>
          <w:docGrid w:linePitch="360"/>
        </w:sectPr>
      </w:pPr>
      <w:r>
        <w:t xml:space="preserve">e-posta : bilgiedinmeta)hazine.gov.tr internet adresi : </w:t>
      </w:r>
      <w:hyperlink r:id="rId8" w:history="1">
        <w:r>
          <w:rPr>
            <w:rStyle w:val="Kpr"/>
            <w:lang w:val="en-US"/>
          </w:rPr>
          <w:t>www.hazine.gov.tr</w:t>
        </w:r>
      </w:hyperlink>
    </w:p>
    <w:p w:rsidR="007E1966" w:rsidRDefault="009557C5">
      <w:pPr>
        <w:pStyle w:val="Balk10"/>
        <w:keepNext/>
        <w:keepLines/>
        <w:shd w:val="clear" w:color="auto" w:fill="auto"/>
        <w:spacing w:after="491" w:line="230" w:lineRule="exact"/>
      </w:pPr>
      <w:bookmarkStart w:id="1" w:name="bookmark0"/>
      <w:r>
        <w:rPr>
          <w:rStyle w:val="Balk11"/>
        </w:rPr>
        <w:lastRenderedPageBreak/>
        <w:t>Hazine Müsteşarlığından:</w:t>
      </w:r>
      <w:bookmarkEnd w:id="1"/>
    </w:p>
    <w:p w:rsidR="007E1966" w:rsidRDefault="009557C5">
      <w:pPr>
        <w:pStyle w:val="Balk10"/>
        <w:keepNext/>
        <w:keepLines/>
        <w:shd w:val="clear" w:color="auto" w:fill="auto"/>
        <w:spacing w:after="0" w:line="274" w:lineRule="exact"/>
        <w:ind w:left="680"/>
        <w:jc w:val="center"/>
      </w:pPr>
      <w:bookmarkStart w:id="2" w:name="bookmark1"/>
      <w:r>
        <w:t>MUALLAK TAZMİNAT KARŞILIĞINA İLİŞKİN GENELGENİN(2014/16) UYGULA</w:t>
      </w:r>
      <w:r>
        <w:t>NMASINA İLİŞKİN SEKTÖR DUYURUSU</w:t>
      </w:r>
      <w:bookmarkEnd w:id="2"/>
    </w:p>
    <w:p w:rsidR="007E1966" w:rsidRDefault="009557C5">
      <w:pPr>
        <w:pStyle w:val="Balk10"/>
        <w:keepNext/>
        <w:keepLines/>
        <w:shd w:val="clear" w:color="auto" w:fill="auto"/>
        <w:spacing w:after="506" w:line="274" w:lineRule="exact"/>
        <w:ind w:left="680"/>
        <w:jc w:val="center"/>
      </w:pPr>
      <w:bookmarkStart w:id="3" w:name="bookmark2"/>
      <w:r>
        <w:t>(2015/29)</w:t>
      </w:r>
      <w:bookmarkEnd w:id="3"/>
    </w:p>
    <w:p w:rsidR="007E1966" w:rsidRDefault="009557C5">
      <w:pPr>
        <w:pStyle w:val="Gvdemetni0"/>
        <w:shd w:val="clear" w:color="auto" w:fill="auto"/>
        <w:spacing w:after="244" w:line="317" w:lineRule="exact"/>
        <w:ind w:right="1020" w:firstLine="680"/>
        <w:jc w:val="both"/>
      </w:pPr>
      <w:r>
        <w:t>Muallak Tazminat Karşılığına İlişkin Genelgede Değişiklik Yapılmasına İlişkin Genelgede (2015/7) 31/3/2015 itibarıyla hesaplanan IBNR tutarının 31/12/2014 tarihli IBNR tutarından fazla olması kaydıyla, 31/3/2015 tarihli IBNR tutarının bu artış oranının %25</w:t>
      </w:r>
      <w:r>
        <w:t>'i esas alınarak yapılabileceği belirtilmektedir.</w:t>
      </w:r>
    </w:p>
    <w:p w:rsidR="007E1966" w:rsidRDefault="009557C5">
      <w:pPr>
        <w:pStyle w:val="Gvdemetni0"/>
        <w:shd w:val="clear" w:color="auto" w:fill="auto"/>
        <w:spacing w:after="271" w:line="312" w:lineRule="exact"/>
        <w:ind w:right="1020" w:firstLine="680"/>
        <w:jc w:val="both"/>
      </w:pPr>
      <w:r>
        <w:t>Müsteşarlığımıza gönderilen 31/3/2015 tarihli IBNR verilerinden 2015/7 sayılı genelgede belirtilen kademeli geçiş imkanını kullanmayan şirketler olduğu görülmüştür. Kademeli geçişe ilişkin oranlar 2015/28 s</w:t>
      </w:r>
      <w:r>
        <w:t>ayılı genelge ile değiştiğinden, 31/3/2015 tarihli IBNR tutarının şirketlerce 2015/7 sayılı genelgede belirtilen şekilde yeniden hesaplanması ve bulunan tutarın finansal tablolarda kullanılmasında bir sakınca bulunmamaktadır.</w:t>
      </w:r>
    </w:p>
    <w:p w:rsidR="007E1966" w:rsidRDefault="009557C5">
      <w:pPr>
        <w:pStyle w:val="Gvdemetni0"/>
        <w:shd w:val="clear" w:color="auto" w:fill="auto"/>
        <w:spacing w:after="5" w:line="274" w:lineRule="exact"/>
        <w:ind w:right="1020" w:firstLine="680"/>
        <w:jc w:val="both"/>
      </w:pPr>
      <w:r>
        <w:t>Yeniden yapılacak IBNR hesabın</w:t>
      </w:r>
      <w:r>
        <w:t>a ve uygulanan artış oranlarına ilişkin açıklamaların branşlar bazında ilgili finansal tabloların dipnotlarında ve detaylı olarak aktüerya raporunda yer alması gerekmektedir.</w:t>
      </w:r>
    </w:p>
    <w:p w:rsidR="007E1966" w:rsidRDefault="0020756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tr-TR"/>
        </w:rPr>
        <w:drawing>
          <wp:inline distT="0" distB="0" distL="0" distR="0">
            <wp:extent cx="1333500" cy="1272540"/>
            <wp:effectExtent l="0" t="0" r="0" b="3810"/>
            <wp:docPr id="2" name="Resim 2" descr="C:\Users\MEHMET~1.BI~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MET~1.BI~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66" w:rsidRDefault="007E1966">
      <w:pPr>
        <w:rPr>
          <w:sz w:val="2"/>
          <w:szCs w:val="2"/>
        </w:rPr>
      </w:pPr>
    </w:p>
    <w:sectPr w:rsidR="007E1966">
      <w:pgSz w:w="11905" w:h="16837"/>
      <w:pgMar w:top="1473" w:right="478" w:bottom="6863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C5" w:rsidRDefault="009557C5">
      <w:r>
        <w:separator/>
      </w:r>
    </w:p>
  </w:endnote>
  <w:endnote w:type="continuationSeparator" w:id="0">
    <w:p w:rsidR="009557C5" w:rsidRDefault="009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C5" w:rsidRDefault="009557C5"/>
  </w:footnote>
  <w:footnote w:type="continuationSeparator" w:id="0">
    <w:p w:rsidR="009557C5" w:rsidRDefault="009557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66"/>
    <w:rsid w:val="00207561"/>
    <w:rsid w:val="007E1966"/>
    <w:rsid w:val="009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zine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mehmetgokhan</dc:creator>
  <cp:lastModifiedBy>mehmetgokhan</cp:lastModifiedBy>
  <cp:revision>1</cp:revision>
  <dcterms:created xsi:type="dcterms:W3CDTF">2015-10-05T12:02:00Z</dcterms:created>
  <dcterms:modified xsi:type="dcterms:W3CDTF">2015-10-05T12:03:00Z</dcterms:modified>
</cp:coreProperties>
</file>