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44" w:rsidRDefault="004C08F4">
      <w:pPr>
        <w:pStyle w:val="Gvdemetni0"/>
        <w:shd w:val="clear" w:color="auto" w:fill="auto"/>
        <w:ind w:left="4620"/>
      </w:pPr>
      <w:bookmarkStart w:id="0" w:name="_GoBack"/>
      <w:bookmarkEnd w:id="0"/>
      <w:r>
        <w:rPr>
          <w:rStyle w:val="Gvdemetni2ptbolukbraklyor"/>
        </w:rPr>
        <w:t>TC.</w:t>
      </w:r>
    </w:p>
    <w:p w:rsidR="00001E44" w:rsidRDefault="004C08F4">
      <w:pPr>
        <w:pStyle w:val="Gvdemetni0"/>
        <w:shd w:val="clear" w:color="auto" w:fill="auto"/>
        <w:spacing w:after="669"/>
        <w:ind w:left="3900" w:right="4100"/>
        <w:jc w:val="right"/>
      </w:pPr>
      <w:r>
        <w:t>BAŞBAKANLIK Hazine Müsteşarlığı</w:t>
      </w:r>
    </w:p>
    <w:p w:rsidR="00001E44" w:rsidRDefault="004C08F4">
      <w:pPr>
        <w:pStyle w:val="Gvdemetni0"/>
        <w:shd w:val="clear" w:color="auto" w:fill="auto"/>
        <w:tabs>
          <w:tab w:val="left" w:pos="8315"/>
        </w:tabs>
        <w:spacing w:line="374" w:lineRule="exact"/>
        <w:ind w:left="40"/>
      </w:pPr>
      <w:proofErr w:type="gramStart"/>
      <w:r>
        <w:t>Sayı : 27424242</w:t>
      </w:r>
      <w:proofErr w:type="gramEnd"/>
      <w:r>
        <w:t>-307.99[010.07.02]/25907</w:t>
      </w:r>
      <w:r>
        <w:tab/>
        <w:t>25.08.2015</w:t>
      </w:r>
    </w:p>
    <w:p w:rsidR="00001E44" w:rsidRDefault="004C08F4">
      <w:pPr>
        <w:pStyle w:val="Gvdemetni0"/>
        <w:shd w:val="clear" w:color="auto" w:fill="auto"/>
        <w:tabs>
          <w:tab w:val="left" w:pos="8603"/>
        </w:tabs>
        <w:spacing w:after="604" w:line="374" w:lineRule="exact"/>
        <w:ind w:left="40"/>
      </w:pPr>
      <w:proofErr w:type="gramStart"/>
      <w:r>
        <w:t>Konu : 2015</w:t>
      </w:r>
      <w:proofErr w:type="gramEnd"/>
      <w:r>
        <w:t>/27 SAYILI SEKTÖR DUYURUSU</w:t>
      </w:r>
      <w:r>
        <w:rPr>
          <w:rStyle w:val="Gvdemetni95pt"/>
        </w:rPr>
        <w:tab/>
      </w:r>
      <w:r>
        <w:rPr>
          <w:rStyle w:val="Gvdemetni95pt0"/>
        </w:rPr>
        <w:t>İVEDİ</w:t>
      </w:r>
    </w:p>
    <w:p w:rsidR="00001E44" w:rsidRDefault="004C08F4">
      <w:pPr>
        <w:pStyle w:val="Gvdemetni0"/>
        <w:shd w:val="clear" w:color="auto" w:fill="auto"/>
        <w:spacing w:after="580" w:line="220" w:lineRule="exact"/>
        <w:ind w:left="40" w:firstLine="700"/>
      </w:pPr>
      <w:r>
        <w:t>TÜRKİYE SİGORTA REASÜRANS VE EMEKLİLİK ŞİRKETLERİ BİRLİĞİ NE</w:t>
      </w:r>
    </w:p>
    <w:p w:rsidR="00001E44" w:rsidRDefault="004C08F4">
      <w:pPr>
        <w:pStyle w:val="Gvdemetni20"/>
        <w:shd w:val="clear" w:color="auto" w:fill="auto"/>
        <w:spacing w:before="0" w:after="341"/>
        <w:ind w:left="40" w:right="440"/>
      </w:pPr>
      <w:r>
        <w:t>Müsteşarlığımızca hazırlanan bir örneği ekli 25.08.2015 tarihli ve 2015/27 sayılı Sektör Duyurusu ekte gönderilmektedir.</w:t>
      </w:r>
    </w:p>
    <w:p w:rsidR="00001E44" w:rsidRDefault="004C08F4">
      <w:pPr>
        <w:pStyle w:val="Gvdemetni20"/>
        <w:shd w:val="clear" w:color="auto" w:fill="auto"/>
        <w:spacing w:before="0" w:after="1208" w:line="210" w:lineRule="exact"/>
        <w:ind w:left="40"/>
      </w:pPr>
      <w:r>
        <w:t>Bilgi edinilmesini ve gereğini rica ederim.</w:t>
      </w:r>
    </w:p>
    <w:p w:rsidR="00001E44" w:rsidRDefault="004C08F4">
      <w:pPr>
        <w:pStyle w:val="Gvdemetni0"/>
        <w:shd w:val="clear" w:color="auto" w:fill="auto"/>
        <w:spacing w:after="111" w:line="220" w:lineRule="exact"/>
        <w:ind w:left="6620"/>
      </w:pPr>
      <w:r>
        <w:rPr>
          <w:rStyle w:val="Gvdemetni1"/>
        </w:rPr>
        <w:t xml:space="preserve">JJ </w:t>
      </w:r>
      <w:r>
        <w:rPr>
          <w:rStyle w:val="Gvdemetni3"/>
        </w:rPr>
        <w:t>e-imzalıdır</w:t>
      </w:r>
    </w:p>
    <w:p w:rsidR="00001E44" w:rsidRDefault="004C08F4">
      <w:pPr>
        <w:pStyle w:val="Gvdemetni0"/>
        <w:shd w:val="clear" w:color="auto" w:fill="auto"/>
        <w:spacing w:after="318" w:line="317" w:lineRule="exact"/>
        <w:ind w:left="6620" w:right="1560"/>
      </w:pPr>
      <w:r>
        <w:t>Gökhan KARASU Müsteşar a. Genel Müdür V.</w:t>
      </w:r>
    </w:p>
    <w:p w:rsidR="00001E44" w:rsidRDefault="004C08F4">
      <w:pPr>
        <w:pStyle w:val="Gvdemetni0"/>
        <w:shd w:val="clear" w:color="auto" w:fill="auto"/>
        <w:spacing w:after="193" w:line="220" w:lineRule="exact"/>
        <w:ind w:left="40"/>
      </w:pPr>
      <w:proofErr w:type="gramStart"/>
      <w:r>
        <w:t>EK :</w:t>
      </w:r>
      <w:proofErr w:type="gramEnd"/>
    </w:p>
    <w:p w:rsidR="00001E44" w:rsidRDefault="004C08F4">
      <w:pPr>
        <w:pStyle w:val="Gvdemetni0"/>
        <w:shd w:val="clear" w:color="auto" w:fill="auto"/>
        <w:spacing w:after="5189" w:line="220" w:lineRule="exact"/>
        <w:ind w:left="40"/>
      </w:pPr>
      <w:r>
        <w:t>2015/27 sayılı Sektör Duyurusu</w:t>
      </w:r>
    </w:p>
    <w:p w:rsidR="00001E44" w:rsidRDefault="004C08F4">
      <w:pPr>
        <w:pStyle w:val="Gvdemetni31"/>
        <w:shd w:val="clear" w:color="auto" w:fill="auto"/>
        <w:spacing w:before="0" w:after="213" w:line="170" w:lineRule="exact"/>
        <w:ind w:left="1320"/>
      </w:pPr>
      <w:r>
        <w:rPr>
          <w:rStyle w:val="Gvdemetni32"/>
        </w:rPr>
        <w:t>Not: 5070 sayılı Elektronik İmza Kanunu çerçevesinde güvenli elektronik imzalı aslı ile aynıdır.</w:t>
      </w:r>
    </w:p>
    <w:p w:rsidR="00001E44" w:rsidRDefault="004C08F4">
      <w:pPr>
        <w:pStyle w:val="Gvdemetni31"/>
        <w:shd w:val="clear" w:color="auto" w:fill="auto"/>
        <w:tabs>
          <w:tab w:val="left" w:pos="7926"/>
        </w:tabs>
        <w:spacing w:before="0" w:after="0" w:line="178" w:lineRule="exact"/>
        <w:ind w:left="40"/>
      </w:pPr>
      <w:r>
        <w:lastRenderedPageBreak/>
        <w:t>T.C. Başbakanlık Hazine Müsteşarlığı, İnönü Bulvarı, No:36 06510, Emek, ÇANKAYA/ANKARA</w:t>
      </w:r>
      <w:r>
        <w:tab/>
        <w:t>Ayrıntılı bilgi için:</w:t>
      </w:r>
    </w:p>
    <w:p w:rsidR="00001E44" w:rsidRDefault="004C08F4">
      <w:pPr>
        <w:pStyle w:val="Gvdemetni31"/>
        <w:shd w:val="clear" w:color="auto" w:fill="auto"/>
        <w:tabs>
          <w:tab w:val="left" w:pos="7821"/>
        </w:tabs>
        <w:spacing w:before="0" w:after="0" w:line="178" w:lineRule="exact"/>
        <w:ind w:left="40"/>
      </w:pPr>
      <w:r>
        <w:t>Telefon No: +90 (312) 204 6000 Belge Geçer No: +9</w:t>
      </w:r>
      <w:r>
        <w:t>0 (312) 204 6644</w:t>
      </w:r>
      <w:r>
        <w:tab/>
        <w:t>D.YILDIRIM BİLEN</w:t>
      </w:r>
    </w:p>
    <w:p w:rsidR="00001E44" w:rsidRDefault="004C08F4">
      <w:pPr>
        <w:pStyle w:val="Gvdemetni31"/>
        <w:shd w:val="clear" w:color="auto" w:fill="auto"/>
        <w:tabs>
          <w:tab w:val="left" w:pos="8075"/>
        </w:tabs>
        <w:spacing w:before="0" w:after="0" w:line="178" w:lineRule="exact"/>
        <w:ind w:left="40"/>
      </w:pPr>
      <w:proofErr w:type="gramStart"/>
      <w:r>
        <w:t>e</w:t>
      </w:r>
      <w:proofErr w:type="gramEnd"/>
      <w:r>
        <w:t xml:space="preserve">-posta: </w:t>
      </w:r>
      <w:hyperlink r:id="rId7" w:history="1">
        <w:r>
          <w:rPr>
            <w:rStyle w:val="Kpr"/>
            <w:lang w:val="en-US"/>
          </w:rPr>
          <w:t>bilgiedinme@hazine.gov.tr</w:t>
        </w:r>
      </w:hyperlink>
      <w:r>
        <w:rPr>
          <w:lang w:val="en-US"/>
        </w:rPr>
        <w:t xml:space="preserve"> </w:t>
      </w:r>
      <w:r>
        <w:t xml:space="preserve">internet adresi: </w:t>
      </w:r>
      <w:hyperlink r:id="rId8" w:history="1">
        <w:r>
          <w:rPr>
            <w:rStyle w:val="Kpr"/>
            <w:lang w:val="en-US"/>
          </w:rPr>
          <w:t>www.hazine.gov.tr</w:t>
        </w:r>
      </w:hyperlink>
      <w:r>
        <w:rPr>
          <w:lang w:val="en-US"/>
        </w:rPr>
        <w:tab/>
      </w:r>
      <w:r>
        <w:t>Hazine Uzman</w:t>
      </w:r>
    </w:p>
    <w:p w:rsidR="00001E44" w:rsidRDefault="004C08F4">
      <w:pPr>
        <w:pStyle w:val="Gvdemetni31"/>
        <w:shd w:val="clear" w:color="auto" w:fill="auto"/>
        <w:spacing w:before="0" w:after="0" w:line="178" w:lineRule="exact"/>
        <w:ind w:left="8260"/>
      </w:pPr>
      <w:r>
        <w:t>Yardımcısı</w:t>
      </w:r>
    </w:p>
    <w:p w:rsidR="00001E44" w:rsidRDefault="004C08F4">
      <w:pPr>
        <w:pStyle w:val="Balk10"/>
        <w:keepNext/>
        <w:keepLines/>
        <w:shd w:val="clear" w:color="auto" w:fill="auto"/>
        <w:spacing w:after="448" w:line="230" w:lineRule="exact"/>
        <w:ind w:left="20"/>
      </w:pPr>
      <w:bookmarkStart w:id="1" w:name="bookmark0"/>
      <w:r>
        <w:rPr>
          <w:rStyle w:val="Balk11"/>
        </w:rPr>
        <w:t>Hazine Müsteşarlığından</w:t>
      </w:r>
      <w:bookmarkEnd w:id="1"/>
    </w:p>
    <w:p w:rsidR="00001E44" w:rsidRDefault="004C08F4">
      <w:pPr>
        <w:pStyle w:val="Balk10"/>
        <w:keepNext/>
        <w:keepLines/>
        <w:shd w:val="clear" w:color="auto" w:fill="auto"/>
        <w:spacing w:after="0" w:line="274" w:lineRule="exact"/>
        <w:ind w:left="20" w:right="40" w:firstLine="960"/>
        <w:jc w:val="both"/>
      </w:pPr>
      <w:bookmarkStart w:id="2" w:name="bookmark1"/>
      <w:r>
        <w:t>Karayolları Motorlu Araçlar Zorunlu Mali Sorumluluk Sigortası ve Zorunlu Karayolu Taşımacılık Mali Sorumluluk Sigortası Asgari Teminatları Hakkında Sektör</w:t>
      </w:r>
      <w:bookmarkEnd w:id="2"/>
    </w:p>
    <w:p w:rsidR="00001E44" w:rsidRDefault="004C08F4">
      <w:pPr>
        <w:pStyle w:val="Balk10"/>
        <w:keepNext/>
        <w:keepLines/>
        <w:shd w:val="clear" w:color="auto" w:fill="auto"/>
        <w:spacing w:after="207" w:line="274" w:lineRule="exact"/>
        <w:ind w:left="4000"/>
      </w:pPr>
      <w:bookmarkStart w:id="3" w:name="bookmark2"/>
      <w:r>
        <w:t>Duyurusu</w:t>
      </w:r>
      <w:bookmarkEnd w:id="3"/>
    </w:p>
    <w:p w:rsidR="00001E44" w:rsidRDefault="004C08F4">
      <w:pPr>
        <w:pStyle w:val="Gvdemetni50"/>
        <w:shd w:val="clear" w:color="auto" w:fill="auto"/>
        <w:spacing w:before="0" w:after="441" w:line="240" w:lineRule="exact"/>
        <w:ind w:left="4000"/>
      </w:pPr>
      <w:r>
        <w:t>(2015/27)</w:t>
      </w:r>
    </w:p>
    <w:p w:rsidR="00001E44" w:rsidRDefault="004C08F4">
      <w:pPr>
        <w:pStyle w:val="Gvdemetni0"/>
        <w:shd w:val="clear" w:color="auto" w:fill="auto"/>
        <w:spacing w:after="184" w:line="274" w:lineRule="exact"/>
        <w:ind w:left="20" w:right="40" w:firstLine="700"/>
        <w:jc w:val="both"/>
      </w:pPr>
      <w:r>
        <w:t>Bilindiği üzere Müsteşarlığımızın bağlı olduğu Bakanlık Makamından istihsal olunan</w:t>
      </w:r>
      <w:r>
        <w:t xml:space="preserve"> Karayolları Motorlu Araçlar Zorunlu Mali Sorumluluk Sigortasında Tarife Uygulama Esasları Hakkında Yönetmeliğin "Araç İşletenleri İçin 01.01.2014 Tarihinden İtibaren Uygulanacak Asgari Sigorta Teminatları başlıklı Tablo </w:t>
      </w:r>
      <w:proofErr w:type="spellStart"/>
      <w:r>
        <w:t>l'in</w:t>
      </w:r>
      <w:proofErr w:type="spellEnd"/>
      <w:r>
        <w:t xml:space="preserve"> </w:t>
      </w:r>
      <w:proofErr w:type="gramStart"/>
      <w:r>
        <w:t>dipnotu :</w:t>
      </w:r>
      <w:proofErr w:type="gramEnd"/>
    </w:p>
    <w:p w:rsidR="00001E44" w:rsidRDefault="004C08F4">
      <w:pPr>
        <w:pStyle w:val="Gvdemetni0"/>
        <w:shd w:val="clear" w:color="auto" w:fill="auto"/>
        <w:spacing w:after="219" w:line="269" w:lineRule="exact"/>
        <w:ind w:left="20" w:right="40" w:firstLine="700"/>
        <w:jc w:val="both"/>
      </w:pPr>
      <w:r>
        <w:t>"Sigorta teminatları</w:t>
      </w:r>
      <w:r>
        <w:t>, araç ruhsatlarında yazmak kaydıyla, Müsteşarlıkça belirlenecek esaslar dâhilinde aracın taşıma kapasitesi (</w:t>
      </w:r>
      <w:proofErr w:type="spellStart"/>
      <w:r>
        <w:t>koltuk+ayakta</w:t>
      </w:r>
      <w:proofErr w:type="spellEnd"/>
      <w:r>
        <w:t xml:space="preserve"> yolcu sayısı) dikkate alınarak artırılır."</w:t>
      </w:r>
    </w:p>
    <w:p w:rsidR="00001E44" w:rsidRDefault="004C08F4">
      <w:pPr>
        <w:pStyle w:val="Gvdemetni0"/>
        <w:shd w:val="clear" w:color="auto" w:fill="auto"/>
        <w:spacing w:after="205" w:line="220" w:lineRule="exact"/>
        <w:ind w:left="20" w:firstLine="700"/>
        <w:jc w:val="both"/>
      </w:pPr>
      <w:proofErr w:type="gramStart"/>
      <w:r>
        <w:t>hükmünü</w:t>
      </w:r>
      <w:proofErr w:type="gramEnd"/>
      <w:r>
        <w:t xml:space="preserve"> öngörmektedir.</w:t>
      </w:r>
    </w:p>
    <w:p w:rsidR="00001E44" w:rsidRDefault="004C08F4">
      <w:pPr>
        <w:pStyle w:val="Gvdemetni0"/>
        <w:shd w:val="clear" w:color="auto" w:fill="auto"/>
        <w:spacing w:after="1565" w:line="274" w:lineRule="exact"/>
        <w:ind w:left="20" w:right="40" w:firstLine="700"/>
        <w:jc w:val="both"/>
      </w:pPr>
      <w:proofErr w:type="gramStart"/>
      <w:r>
        <w:t xml:space="preserve">Müsteşarlığımıza gelen talepler doğrultusunda, ruhsatlarında ayakta yolcu sayıları yazmak kaydıyla, otobüs (sürücü dâhil 31 ve üstü koltuk) araç türünün yanı sıra otobüs (sürücü dâhil 18-30 koltuk) araç türü için de Resmi </w:t>
      </w:r>
      <w:proofErr w:type="spellStart"/>
      <w:r>
        <w:t>Gazete'de</w:t>
      </w:r>
      <w:proofErr w:type="spellEnd"/>
      <w:r>
        <w:t xml:space="preserve"> yayımlanmış olan teminat</w:t>
      </w:r>
      <w:r>
        <w:t xml:space="preserve"> tutarına ek olarak bu Sektör Duyurusunun yayımlandığı tarihten itibaren düzenlenen poliçelerde 2015 ve sonraki 3 yıl bakımından otobüs (sürücü dâhil 18-30 koltuk) araç türünde ayakta yolcu için eklenmesi gereken tutar yıllar itibariyle aşağıdaki şekilde b</w:t>
      </w:r>
      <w:r>
        <w:t>elirlenmiştir: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890"/>
      </w:tblGrid>
      <w:tr w:rsidR="00001E44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Yıllar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40"/>
              <w:framePr w:wrap="notBeside" w:vAnchor="text" w:hAnchor="text" w:xAlign="center" w:y="1"/>
              <w:shd w:val="clear" w:color="auto" w:fill="auto"/>
              <w:spacing w:line="278" w:lineRule="exact"/>
              <w:ind w:right="560"/>
              <w:jc w:val="right"/>
            </w:pPr>
            <w:r>
              <w:t>Ayakta Yolcu için Eklenecek Tutar</w:t>
            </w:r>
          </w:p>
        </w:tc>
      </w:tr>
      <w:tr w:rsidR="00001E4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2015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1.795.230</w:t>
            </w:r>
          </w:p>
        </w:tc>
      </w:tr>
      <w:tr w:rsidR="00001E44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2016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1.919.040</w:t>
            </w:r>
          </w:p>
        </w:tc>
      </w:tr>
      <w:tr w:rsidR="00001E44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2017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2.042.850</w:t>
            </w:r>
          </w:p>
        </w:tc>
      </w:tr>
      <w:tr w:rsidR="00001E44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2018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E44" w:rsidRDefault="004C08F4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2.228.570</w:t>
            </w:r>
          </w:p>
        </w:tc>
      </w:tr>
    </w:tbl>
    <w:p w:rsidR="00001E44" w:rsidRDefault="00001E44">
      <w:pPr>
        <w:rPr>
          <w:sz w:val="2"/>
          <w:szCs w:val="2"/>
        </w:rPr>
      </w:pPr>
    </w:p>
    <w:sectPr w:rsidR="00001E44">
      <w:type w:val="continuous"/>
      <w:pgSz w:w="11905" w:h="16837"/>
      <w:pgMar w:top="1114" w:right="534" w:bottom="1772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F4" w:rsidRDefault="004C08F4">
      <w:r>
        <w:separator/>
      </w:r>
    </w:p>
  </w:endnote>
  <w:endnote w:type="continuationSeparator" w:id="0">
    <w:p w:rsidR="004C08F4" w:rsidRDefault="004C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F4" w:rsidRDefault="004C08F4"/>
  </w:footnote>
  <w:footnote w:type="continuationSeparator" w:id="0">
    <w:p w:rsidR="004C08F4" w:rsidRDefault="004C08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44"/>
    <w:rsid w:val="00001E44"/>
    <w:rsid w:val="00100C0F"/>
    <w:rsid w:val="004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ptbolukbraklyor">
    <w:name w:val="Gövde metni + 2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Gvdemetni95pt">
    <w:name w:val="Gövde metni + 9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95pt0">
    <w:name w:val="Gövde metni + 9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0">
    <w:name w:val="Gövde metni (3)_"/>
    <w:basedOn w:val="VarsaylanParagrafYazTipi"/>
    <w:link w:val="Gvdemetni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32">
    <w:name w:val="Gövde metni (3)"/>
    <w:basedOn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20" w:after="240" w:line="336" w:lineRule="exact"/>
      <w:ind w:firstLine="7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31">
    <w:name w:val="Gövde metni (3)"/>
    <w:basedOn w:val="Normal"/>
    <w:link w:val="Gvdemetni30"/>
    <w:pPr>
      <w:shd w:val="clear" w:color="auto" w:fill="FFFFFF"/>
      <w:spacing w:before="522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ptbolukbraklyor">
    <w:name w:val="Gövde metni + 2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Gvdemetni95pt">
    <w:name w:val="Gövde metni + 9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95pt0">
    <w:name w:val="Gövde metni + 9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0">
    <w:name w:val="Gövde metni (3)_"/>
    <w:basedOn w:val="VarsaylanParagrafYazTipi"/>
    <w:link w:val="Gvdemetni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Gvdemetni32">
    <w:name w:val="Gövde metni (3)"/>
    <w:basedOn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720" w:after="240" w:line="336" w:lineRule="exact"/>
      <w:ind w:firstLine="7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31">
    <w:name w:val="Gövde metni (3)"/>
    <w:basedOn w:val="Normal"/>
    <w:link w:val="Gvdemetni30"/>
    <w:pPr>
      <w:shd w:val="clear" w:color="auto" w:fill="FFFFFF"/>
      <w:spacing w:before="5220" w:after="2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zine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lgiedinme@hazine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mehmetgokhan</dc:creator>
  <cp:lastModifiedBy>mehmetgokhan</cp:lastModifiedBy>
  <cp:revision>1</cp:revision>
  <dcterms:created xsi:type="dcterms:W3CDTF">2015-10-05T12:01:00Z</dcterms:created>
  <dcterms:modified xsi:type="dcterms:W3CDTF">2015-10-05T12:01:00Z</dcterms:modified>
</cp:coreProperties>
</file>