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63" w:rsidRDefault="00B4347A">
      <w:pPr>
        <w:pStyle w:val="Gvdemetni0"/>
        <w:shd w:val="clear" w:color="auto" w:fill="auto"/>
        <w:spacing w:after="500" w:line="210" w:lineRule="exact"/>
        <w:ind w:left="20"/>
      </w:pPr>
      <w:bookmarkStart w:id="0" w:name="_GoBack"/>
      <w:bookmarkEnd w:id="0"/>
      <w:r>
        <w:rPr>
          <w:rStyle w:val="Gvdemetni1"/>
        </w:rPr>
        <w:t>Hazine Müsteşarlığından:</w:t>
      </w:r>
    </w:p>
    <w:p w:rsidR="00333863" w:rsidRDefault="00B4347A">
      <w:pPr>
        <w:pStyle w:val="Gvdemetni0"/>
        <w:shd w:val="clear" w:color="auto" w:fill="auto"/>
        <w:spacing w:after="720" w:line="259" w:lineRule="exact"/>
        <w:ind w:left="180"/>
        <w:jc w:val="center"/>
      </w:pPr>
      <w:r>
        <w:t>SİGORTA ACENTELERİNİN SERMAYE YAPİSS VE PERSONELİNİN MESLEKİ DENEYİMİ KONUSUNDA SEKTÖR DUYURUSU (2015/10)</w:t>
      </w:r>
    </w:p>
    <w:p w:rsidR="00333863" w:rsidRDefault="00B4347A">
      <w:pPr>
        <w:pStyle w:val="Gvdemetni20"/>
        <w:shd w:val="clear" w:color="auto" w:fill="auto"/>
        <w:spacing w:before="0" w:after="243"/>
        <w:ind w:left="20" w:right="220"/>
      </w:pPr>
      <w:r>
        <w:rPr>
          <w:rStyle w:val="Gvdemetni2talikdeil"/>
        </w:rPr>
        <w:t xml:space="preserve">Bilindiği üzere Sigorta Acenteleri Yönetmeliğinin 8 inci maddesinin beşinci fıkrası </w:t>
      </w:r>
      <w:r>
        <w:t>"</w:t>
      </w:r>
      <w:r>
        <w:t>Şube açarak teşkilatlanmak isteyen acentelerin merkezlerinde genel müdür, en az bir genel müdür yardımcısı ve yeterli sayıda birim müdürlüğü oluşturulması gerekir. Genel miidür için en az</w:t>
      </w:r>
      <w:r>
        <w:rPr>
          <w:rStyle w:val="Gvdemetni2talikdeil"/>
        </w:rPr>
        <w:t xml:space="preserve"> 7</w:t>
      </w:r>
      <w:r>
        <w:t xml:space="preserve"> yıl, genel müdür yardımcısı için en az 5 yıl sigortacılık mesleki </w:t>
      </w:r>
      <w:r>
        <w:t>deneyimi, en az dört yıllık yüksek öğrenim görmüş olması ve 4 üncü maddenin birinci fıkrasının (a), (b) ve (c) bentlerinde sayılan şartları lıaiz olması aranır. Şubelerde ise en az bir müdür ve bir teknik personel istihdam edilir. Şube müdürünün tüzel kişi</w:t>
      </w:r>
      <w:r>
        <w:t xml:space="preserve"> acente müdüründe aranan şartları taşıması gerekir.</w:t>
      </w:r>
      <w:r>
        <w:rPr>
          <w:rStyle w:val="Gvdemetni2talikdeil"/>
        </w:rPr>
        <w:t>", aynı Yönetmeliğin 9 uncu maddesinin dördüncü fıkrası "</w:t>
      </w:r>
      <w:r>
        <w:t>Asgari ödenmiş sermaye ile beyan edilecek malvarlıklarının en az %50 sinin nakit, mevduat ya da devlet iç borçlanma senedi gibi nakde kolay dönüşebi</w:t>
      </w:r>
      <w:r>
        <w:t xml:space="preserve">lir yatırım araçlarından oluşması gerekir." </w:t>
      </w:r>
      <w:r>
        <w:rPr>
          <w:rStyle w:val="Gvdemetni2talikdeil"/>
        </w:rPr>
        <w:t>hükmü amirdir.</w:t>
      </w:r>
    </w:p>
    <w:p w:rsidR="00333863" w:rsidRDefault="00B4347A">
      <w:pPr>
        <w:pStyle w:val="Gvdemetni0"/>
        <w:shd w:val="clear" w:color="auto" w:fill="auto"/>
        <w:spacing w:after="277" w:line="256" w:lineRule="exact"/>
        <w:ind w:left="20" w:right="220" w:firstLine="700"/>
      </w:pPr>
      <w:r>
        <w:t>Müsteşarlığımıza yapılan çeşitli başvurulardan nakde dönüşebilir yatırım araçlarının içeriği ile sigortacılık mesleki deneyimin kapsamı hususunda tereddütler oluştuğu anlaşılmaktadır.</w:t>
      </w:r>
    </w:p>
    <w:p w:rsidR="00333863" w:rsidRDefault="00B4347A">
      <w:pPr>
        <w:pStyle w:val="Gvdemetni0"/>
        <w:shd w:val="clear" w:color="auto" w:fill="auto"/>
        <w:spacing w:after="220" w:line="210" w:lineRule="exact"/>
        <w:ind w:left="20" w:firstLine="700"/>
      </w:pPr>
      <w:r>
        <w:t>Konuya ilişki</w:t>
      </w:r>
      <w:r>
        <w:t>n yapılan değerlendirmede;</w:t>
      </w:r>
    </w:p>
    <w:p w:rsidR="00333863" w:rsidRDefault="00B4347A">
      <w:pPr>
        <w:pStyle w:val="Gvdemetni0"/>
        <w:numPr>
          <w:ilvl w:val="0"/>
          <w:numId w:val="1"/>
        </w:numPr>
        <w:shd w:val="clear" w:color="auto" w:fill="auto"/>
        <w:tabs>
          <w:tab w:val="left" w:pos="322"/>
        </w:tabs>
        <w:spacing w:after="240" w:line="259" w:lineRule="exact"/>
        <w:ind w:left="20" w:right="220"/>
      </w:pPr>
      <w:r>
        <w:t>Söz konusu Yönetmelik uyarınca asgari ödenmiş sermaye uygulamasında ödenmiş sermayenin en az %50'si için aranan nakde kolay dönüşebilir yatırım araçları kapsamına her türlü menkul ve menkul kıymetin dahil edilebileceği, geriye ka</w:t>
      </w:r>
      <w:r>
        <w:t>lan ödenmiş sermaye uygulamasını esas almak üzere gayrimenkul de dahil olmak üzere her türlü malvarlığının kabul edilebileceği kanaatine varılmıştır.</w:t>
      </w:r>
    </w:p>
    <w:p w:rsidR="00333863" w:rsidRDefault="00B4347A">
      <w:pPr>
        <w:pStyle w:val="Gvdemetni0"/>
        <w:framePr w:h="210" w:wrap="around" w:hAnchor="margin" w:x="7293"/>
        <w:shd w:val="clear" w:color="auto" w:fill="auto"/>
        <w:spacing w:after="0" w:line="210" w:lineRule="exact"/>
        <w:ind w:left="100"/>
        <w:jc w:val="left"/>
      </w:pPr>
      <w:r>
        <w:t>08/04/2015</w:t>
      </w:r>
    </w:p>
    <w:p w:rsidR="00333863" w:rsidRDefault="00B4347A">
      <w:pPr>
        <w:pStyle w:val="Gvdemetni0"/>
        <w:numPr>
          <w:ilvl w:val="0"/>
          <w:numId w:val="1"/>
        </w:numPr>
        <w:shd w:val="clear" w:color="auto" w:fill="auto"/>
        <w:tabs>
          <w:tab w:val="left" w:pos="312"/>
        </w:tabs>
        <w:spacing w:after="668" w:line="259" w:lineRule="exact"/>
        <w:ind w:left="20" w:right="220"/>
      </w:pPr>
      <w:r>
        <w:t>Sigorta Acenteleri Yönetmeliğinin 8 inci maddesinin beşinci fıkrası uygulamasına ilişkin olarak, aynı Yönetmeliğin (EK-1) ekinde yer alan mesleki deneyime ilişkin ortak hükümler çerçevesinde, anılan madd«i kapsamındaki genel müdür ve genel müdür yardımcıla</w:t>
      </w:r>
      <w:r>
        <w:t>rı için, 31.12.2015 tarihine kadar atanmaları kaydıyla, sigortacılık, iktisat, işletme, muhasebe, hukuk, maliye, matematik, istatistik, aktüerya veya mühendislik alanlarındaki deneyim süreleri mesleki deneyim olarak kabul edilecektir.</w:t>
      </w:r>
    </w:p>
    <w:p w:rsidR="00333863" w:rsidRDefault="000622EE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tr-TR"/>
        </w:rPr>
        <w:drawing>
          <wp:inline distT="0" distB="0" distL="0" distR="0">
            <wp:extent cx="1224280" cy="1238885"/>
            <wp:effectExtent l="0" t="0" r="0" b="0"/>
            <wp:docPr id="1" name="Resim 1" descr="C:\Users\MEHMET~1.BI~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HMET~1.BI~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863" w:rsidRDefault="00333863">
      <w:pPr>
        <w:rPr>
          <w:sz w:val="2"/>
          <w:szCs w:val="2"/>
        </w:rPr>
      </w:pPr>
    </w:p>
    <w:sectPr w:rsidR="00333863">
      <w:type w:val="continuous"/>
      <w:pgSz w:w="11905" w:h="16837"/>
      <w:pgMar w:top="1445" w:right="1130" w:bottom="2457" w:left="19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7A" w:rsidRDefault="00B4347A">
      <w:r>
        <w:separator/>
      </w:r>
    </w:p>
  </w:endnote>
  <w:endnote w:type="continuationSeparator" w:id="0">
    <w:p w:rsidR="00B4347A" w:rsidRDefault="00B4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7A" w:rsidRDefault="00B4347A"/>
  </w:footnote>
  <w:footnote w:type="continuationSeparator" w:id="0">
    <w:p w:rsidR="00B4347A" w:rsidRDefault="00B434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E1351"/>
    <w:multiLevelType w:val="multilevel"/>
    <w:tmpl w:val="9788BC06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63"/>
    <w:rsid w:val="000622EE"/>
    <w:rsid w:val="00333863"/>
    <w:rsid w:val="00B4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2talikdeil">
    <w:name w:val="Gövde metni (2) + İtalik değil"/>
    <w:basedOn w:val="Gvdemetn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720" w:after="240" w:line="259" w:lineRule="exact"/>
      <w:ind w:firstLine="70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2talikdeil">
    <w:name w:val="Gövde metni (2) + İtalik değil"/>
    <w:basedOn w:val="Gvdemetn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720" w:after="240" w:line="259" w:lineRule="exact"/>
      <w:ind w:firstLine="70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mehmetgokhan</dc:creator>
  <cp:lastModifiedBy>mehmetgokhan</cp:lastModifiedBy>
  <cp:revision>1</cp:revision>
  <dcterms:created xsi:type="dcterms:W3CDTF">2015-10-05T11:35:00Z</dcterms:created>
  <dcterms:modified xsi:type="dcterms:W3CDTF">2015-10-05T11:36:00Z</dcterms:modified>
</cp:coreProperties>
</file>