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5"/>
        <w:shd w:val="clear" w:color="auto" w:fill="auto"/>
        <w:ind w:left="40"/>
        <w:spacing w:after="501" w:line="230" w:lineRule="exact"/>
      </w:pPr>
      <w:r>
        <w:rPr>
          <w:rStyle w:val="CharStyle7"/>
        </w:rPr>
        <w:t xml:space="preserve">Hazine Müsteşarlığından:</w:t>
      </w:r>
    </w:p>
    <w:p>
      <w:pPr>
        <w:pStyle w:val="Style5"/>
        <w:shd w:val="clear" w:color="auto" w:fill="auto"/>
        <w:jc w:val="center"/>
        <w:spacing w:after="540" w:line="274" w:lineRule="exact"/>
      </w:pPr>
      <w:r>
        <w:t xml:space="preserve">HAYAT GRUBU SİGORTALARINDA VERGİ UYGULAMALARİNA İLİŞKİN SEKTÖR DUYURUSU </w:t>
      </w:r>
      <w:r>
        <w:rPr>
          <w:rStyle w:val="CharStyle8"/>
        </w:rPr>
        <w:t xml:space="preserve">(2013/9)</w:t>
      </w:r>
    </w:p>
    <w:p>
      <w:pPr>
        <w:pStyle w:val="Style9"/>
        <w:shd w:val="clear" w:color="auto" w:fill="auto"/>
        <w:ind w:left="40" w:right="40"/>
        <w:spacing w:before="0" w:after="240"/>
      </w:pPr>
      <w:r>
        <w:rPr>
          <w:rStyle w:val="CharStyle11"/>
        </w:rPr>
        <w:t xml:space="preserve">Bilindiği üzere, 193 sayılı Gelir Vergisi Kanunu'nun 63 üncü maddesinin birinci fıkrasının (3) numaralı bendi 6327 sayılı Bireysel Emeklilik Tasarruf ve Yatırım Sistemi Kanunu ile Bazı Kanun ve Kanun Hükmünde Kararnamelerde Değişiklik Yapılmasına Dair Kanun'un 5 inci maddesi ile 1/1/2013 tarihinden itibaren uygulanmak üzere</w:t>
      </w:r>
      <w:r>
        <w:t xml:space="preserve"> "Sigortanın Türkiye 'de kâin ve merkezi Türkiye 'de bulunan bir emeklilik veya sigorta şirketi nezdinde akdedilmiş olması şartıyla; ücretlinin şahsına, eşine ve küçük çocuklarına ait hayat sigortası poliçeleri için hizmet erbabı tarafından ödenen primlerin %50'si ile ölüm, kaza, sağlık, hastalık, sakatlık, işsizlik, analık, doğum ve tahsil gibi şahıs sigorta poliçeleri için hizmet erbabı tarafından ödenen primler (İndirim konusu yapılacak primler toplamı, ödendiği ayda elde edilen ücretin %15 'ini ve yıllık olarak asgari ücretin yıllık tutarını aşamaz. Bakanlar Kurulu bu bentte yer alan oranları yarısına kadar indirmeye, iki katına kadar artırmaya ve belirtilen haddi, asgari ücretin yıllık tutarının iki katını geçmemek üzere yeniden belirlemeye yetkilidir.)."</w:t>
      </w:r>
      <w:r>
        <w:rPr>
          <w:rStyle w:val="CharStyle11"/>
        </w:rPr>
        <w:t xml:space="preserve"> şeklinde değiştirilmiştir.</w:t>
      </w:r>
    </w:p>
    <w:p>
      <w:pPr>
        <w:pStyle w:val="Style3"/>
        <w:framePr w:h="240" w:vSpace="552" w:wrap="around" w:hAnchor="margin" w:x="8039" w:y="-17"/>
        <w:shd w:val="clear" w:color="auto" w:fill="auto"/>
        <w:ind w:left="100"/>
        <w:spacing w:line="240" w:lineRule="exact"/>
      </w:pPr>
      <w:r>
        <w:t xml:space="preserve">9/4/2013</w:t>
      </w:r>
    </w:p>
    <w:p>
      <w:pPr>
        <w:pStyle w:val="Style12"/>
        <w:shd w:val="clear" w:color="auto" w:fill="auto"/>
        <w:ind w:left="40" w:right="40"/>
        <w:spacing w:before="0" w:after="0"/>
      </w:pPr>
      <w:r>
        <w:t xml:space="preserve">Konuya ilişkin olarak Maliye Bakanlığından alınan yazıda; söz konusu Kanun hükümleri çerçevesinde, ücretlinin şahsına, eşine ve küçük çocuklarına ait ödemiş bulunduğu birikim priminin alındığı hayat sigortası poliçeleri için hizmet erbabı tarafından ödenen primlerin %50'si ile birikimli sigortaların dışında kalan yaşam teminatı içeren sigorta primlerinin tamamının, ödendiği ayda elde edilen ücretin %15'ini ve yıllık olarak asgari ücretin yıllık tutarım aşmaması ve prim ödeme belgesinin primin ait olduğu ay içinde ibraz edilmesi halinde ücretin safi değerinin tespitinde ücret matrahından indirilmesinin mümkün olduğu belirtilmiştir.</w:t>
      </w:r>
    </w:p>
    <w:sectPr>
      <w:footnotePr>
        <w:pos w:val="pageBottom"/>
        <w:numFmt w:val="decimal"/>
        <w:numRestart w:val="continuous"/>
      </w:footnotePr>
      <w:type w:val="continuous"/>
      <w:pgSz w:w="16837" w:h="11905" w:orient="landscape"/>
      <w:pgMar w:top="1126" w:left="4535" w:right="3153" w:bottom="2580"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tr"/>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tr"/>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Gövde metni (4)_"/>
    <w:basedOn w:val="DefaultParagraphFont"/>
    <w:link w:val="Style3"/>
    <w:rPr>
      <w:b w:val="0"/>
      <w:bCs w:val="0"/>
      <w:i w:val="0"/>
      <w:iCs w:val="0"/>
      <w:strike w:val="0"/>
      <w:smallCaps w:val="0"/>
      <w:sz w:val="24"/>
      <w:szCs w:val="24"/>
      <w:rFonts w:ascii="Times New Roman" w:eastAsia="Times New Roman" w:hAnsi="Times New Roman" w:cs="Times New Roman"/>
      <w:spacing w:val="0"/>
    </w:rPr>
  </w:style>
  <w:style w:type="character" w:customStyle="1" w:styleId="CharStyle6">
    <w:name w:val="Gövde metni (2)_"/>
    <w:basedOn w:val="DefaultParagraphFont"/>
    <w:link w:val="Style5"/>
    <w:rPr>
      <w:b w:val="0"/>
      <w:bCs w:val="0"/>
      <w:i w:val="0"/>
      <w:iCs w:val="0"/>
      <w:strike w:val="0"/>
      <w:smallCaps w:val="0"/>
      <w:sz w:val="23"/>
      <w:szCs w:val="23"/>
      <w:rFonts w:ascii="Times New Roman" w:eastAsia="Times New Roman" w:hAnsi="Times New Roman" w:cs="Times New Roman"/>
      <w:spacing w:val="0"/>
    </w:rPr>
  </w:style>
  <w:style w:type="character" w:customStyle="1" w:styleId="CharStyle7">
    <w:name w:val="Gövde metni (2)"/>
    <w:basedOn w:val="CharStyle6"/>
    <w:rPr>
      <w:u w:val="single"/>
    </w:rPr>
  </w:style>
  <w:style w:type="character" w:customStyle="1" w:styleId="CharStyle8">
    <w:name w:val="Gövde metni (2) + 12 pt"/>
    <w:basedOn w:val="CharStyle6"/>
    <w:rPr>
      <w:sz w:val="24"/>
      <w:szCs w:val="24"/>
      <w:spacing w:val="0"/>
    </w:rPr>
  </w:style>
  <w:style w:type="character" w:customStyle="1" w:styleId="CharStyle10">
    <w:name w:val="Gövde metni_"/>
    <w:basedOn w:val="DefaultParagraphFont"/>
    <w:link w:val="Style9"/>
    <w:rPr>
      <w:b w:val="0"/>
      <w:bCs w:val="0"/>
      <w:i w:val="0"/>
      <w:iCs w:val="0"/>
      <w:strike w:val="0"/>
      <w:smallCaps w:val="0"/>
      <w:sz w:val="24"/>
      <w:szCs w:val="24"/>
      <w:rFonts w:ascii="Times New Roman" w:eastAsia="Times New Roman" w:hAnsi="Times New Roman" w:cs="Times New Roman"/>
      <w:spacing w:val="0"/>
    </w:rPr>
  </w:style>
  <w:style w:type="character" w:customStyle="1" w:styleId="CharStyle11">
    <w:name w:val="Gövde metni + İtalik değil"/>
    <w:basedOn w:val="CharStyle10"/>
    <w:rPr>
      <w:i/>
      <w:iCs/>
      <w:spacing w:val="0"/>
    </w:rPr>
  </w:style>
  <w:style w:type="character" w:customStyle="1" w:styleId="CharStyle13">
    <w:name w:val="Gövde metni (3)_"/>
    <w:basedOn w:val="DefaultParagraphFont"/>
    <w:link w:val="Style12"/>
    <w:rPr>
      <w:b w:val="0"/>
      <w:bCs w:val="0"/>
      <w:i w:val="0"/>
      <w:iCs w:val="0"/>
      <w:strike w:val="0"/>
      <w:smallCaps w:val="0"/>
      <w:sz w:val="24"/>
      <w:szCs w:val="24"/>
      <w:rFonts w:ascii="Times New Roman" w:eastAsia="Times New Roman" w:hAnsi="Times New Roman" w:cs="Times New Roman"/>
      <w:spacing w:val="0"/>
    </w:rPr>
  </w:style>
  <w:style w:type="paragraph" w:customStyle="1" w:styleId="Style3">
    <w:name w:val="Gövde metni (4)"/>
    <w:basedOn w:val="Normal"/>
    <w:link w:val="CharStyle4"/>
    <w:pPr>
      <w:shd w:val="clear" w:color="auto" w:fill="FFFFFF"/>
      <w:spacing w:line="0" w:lineRule="exact"/>
    </w:pPr>
    <w:rPr>
      <w:b/>
      <w:bCs/>
      <w:sz w:val="24"/>
      <w:szCs w:val="24"/>
      <w:rFonts w:ascii="Times New Roman" w:eastAsia="Times New Roman" w:hAnsi="Times New Roman" w:cs="Times New Roman"/>
      <w:spacing w:val="0"/>
    </w:rPr>
  </w:style>
  <w:style w:type="paragraph" w:customStyle="1" w:styleId="Style5">
    <w:name w:val="Gövde metni (2)"/>
    <w:basedOn w:val="Normal"/>
    <w:link w:val="CharStyle6"/>
    <w:pPr>
      <w:shd w:val="clear" w:color="auto" w:fill="FFFFFF"/>
      <w:spacing w:after="540" w:line="0" w:lineRule="exact"/>
    </w:pPr>
    <w:rPr>
      <w:b/>
      <w:bCs/>
      <w:sz w:val="23"/>
      <w:szCs w:val="23"/>
      <w:rFonts w:ascii="Times New Roman" w:eastAsia="Times New Roman" w:hAnsi="Times New Roman" w:cs="Times New Roman"/>
      <w:spacing w:val="0"/>
    </w:rPr>
  </w:style>
  <w:style w:type="paragraph" w:customStyle="1" w:styleId="Style9">
    <w:name w:val="Gövde metni"/>
    <w:basedOn w:val="Normal"/>
    <w:link w:val="CharStyle10"/>
    <w:pPr>
      <w:shd w:val="clear" w:color="auto" w:fill="FFFFFF"/>
      <w:jc w:val="both"/>
      <w:ind w:firstLine="700"/>
      <w:spacing w:before="540" w:after="240" w:line="274" w:lineRule="exact"/>
    </w:pPr>
    <w:rPr>
      <w:i/>
      <w:iCs/>
      <w:sz w:val="24"/>
      <w:szCs w:val="24"/>
      <w:rFonts w:ascii="Times New Roman" w:eastAsia="Times New Roman" w:hAnsi="Times New Roman" w:cs="Times New Roman"/>
      <w:spacing w:val="0"/>
    </w:rPr>
  </w:style>
  <w:style w:type="paragraph" w:customStyle="1" w:styleId="Style12">
    <w:name w:val="Gövde metni (3)"/>
    <w:basedOn w:val="Normal"/>
    <w:link w:val="CharStyle13"/>
    <w:pPr>
      <w:shd w:val="clear" w:color="auto" w:fill="FFFFFF"/>
      <w:jc w:val="both"/>
      <w:ind w:firstLine="700"/>
      <w:spacing w:before="240" w:after="840" w:line="274" w:lineRule="exact"/>
    </w:pPr>
    <w:rPr>
      <w:sz w:val="24"/>
      <w:szCs w:val="24"/>
      <w:rFonts w:ascii="Times New Roman" w:eastAsia="Times New Roman" w:hAnsi="Times New Roman" w:cs="Times New Roman"/>
      <w:spacing w:val="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