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F5F" w:rsidRDefault="00B06F5F" w:rsidP="00B06F5F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  <w:u w:val="single"/>
        </w:rPr>
        <w:t>Hazine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Müsteşarlığından</w:t>
      </w:r>
      <w:proofErr w:type="spellEnd"/>
      <w:r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15.03.2013</w:t>
      </w:r>
    </w:p>
    <w:p w:rsidR="00B06F5F" w:rsidRDefault="00B06F5F" w:rsidP="00B06F5F">
      <w:pPr>
        <w:jc w:val="center"/>
        <w:rPr>
          <w:b/>
          <w:sz w:val="24"/>
          <w:szCs w:val="24"/>
        </w:rPr>
      </w:pPr>
    </w:p>
    <w:p w:rsidR="00B06F5F" w:rsidRDefault="00B06F5F" w:rsidP="00B06F5F">
      <w:pPr>
        <w:jc w:val="center"/>
        <w:rPr>
          <w:b/>
          <w:sz w:val="24"/>
          <w:szCs w:val="24"/>
        </w:rPr>
      </w:pPr>
    </w:p>
    <w:p w:rsidR="00B06F5F" w:rsidRDefault="00B06F5F" w:rsidP="00B06F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SİGORTA ŞİRKETLERİ İLE REASÜRANS ŞİRKETLERİNİN YILLIK FAALİYET RAPORLARININ HAZIRLANMASI VE SUNUMUNA </w:t>
      </w:r>
    </w:p>
    <w:p w:rsidR="00B06F5F" w:rsidRDefault="00B06F5F" w:rsidP="00B06F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İLİŞKİN GENELGE</w:t>
      </w:r>
    </w:p>
    <w:p w:rsidR="00B06F5F" w:rsidRDefault="00B06F5F" w:rsidP="00B06F5F">
      <w:pPr>
        <w:jc w:val="center"/>
        <w:rPr>
          <w:b/>
          <w:sz w:val="24"/>
          <w:szCs w:val="24"/>
        </w:rPr>
      </w:pPr>
    </w:p>
    <w:p w:rsidR="00B06F5F" w:rsidRDefault="00B06F5F" w:rsidP="00B06F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(2013/5)</w:t>
      </w:r>
    </w:p>
    <w:p w:rsidR="00B06F5F" w:rsidRDefault="00B06F5F" w:rsidP="00B06F5F">
      <w:pPr>
        <w:jc w:val="center"/>
        <w:rPr>
          <w:b/>
          <w:sz w:val="24"/>
          <w:szCs w:val="24"/>
        </w:rPr>
      </w:pPr>
    </w:p>
    <w:p w:rsidR="00B06F5F" w:rsidRDefault="00B06F5F" w:rsidP="00B06F5F">
      <w:pPr>
        <w:jc w:val="center"/>
        <w:rPr>
          <w:b/>
          <w:sz w:val="24"/>
          <w:szCs w:val="24"/>
        </w:rPr>
      </w:pPr>
    </w:p>
    <w:p w:rsidR="00B06F5F" w:rsidRDefault="00B06F5F" w:rsidP="00B06F5F">
      <w:pPr>
        <w:keepNext/>
        <w:shd w:val="clear" w:color="auto" w:fill="FFFFFF"/>
        <w:ind w:firstLine="708"/>
        <w:jc w:val="both"/>
        <w:outlineLvl w:val="0"/>
        <w:rPr>
          <w:b/>
          <w:sz w:val="24"/>
          <w:szCs w:val="24"/>
          <w:lang w:val="tr-TR"/>
        </w:rPr>
      </w:pPr>
      <w:r>
        <w:rPr>
          <w:sz w:val="24"/>
          <w:szCs w:val="24"/>
        </w:rPr>
        <w:t xml:space="preserve">6102 </w:t>
      </w:r>
      <w:proofErr w:type="spellStart"/>
      <w:r>
        <w:rPr>
          <w:sz w:val="24"/>
          <w:szCs w:val="24"/>
        </w:rPr>
        <w:t>sayılı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Türk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Ticaret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Kanunu’nun</w:t>
      </w:r>
      <w:proofErr w:type="spellEnd"/>
      <w:r>
        <w:rPr>
          <w:sz w:val="24"/>
          <w:szCs w:val="24"/>
        </w:rPr>
        <w:t xml:space="preserve"> 330 </w:t>
      </w:r>
      <w:proofErr w:type="spellStart"/>
      <w:r>
        <w:rPr>
          <w:sz w:val="24"/>
          <w:szCs w:val="24"/>
        </w:rPr>
        <w:t>uncu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maddesi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çerçevesinde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sigorta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reasürans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şirketleri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dahil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olmak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üzere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özel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kanunlara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bağlı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anonim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şirketlere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özel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hükümler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dışında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mezkur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Kanunun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ikinci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kitabının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dördüncü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kısım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hükümlerinin</w:t>
      </w:r>
      <w:proofErr w:type="spellEnd"/>
      <w:r>
        <w:rPr>
          <w:sz w:val="24"/>
          <w:szCs w:val="24"/>
        </w:rPr>
        <w:t xml:space="preserve"> (329 </w:t>
      </w:r>
      <w:proofErr w:type="spellStart"/>
      <w:r>
        <w:rPr>
          <w:sz w:val="24"/>
          <w:szCs w:val="24"/>
        </w:rPr>
        <w:t>ila</w:t>
      </w:r>
      <w:proofErr w:type="spellEnd"/>
      <w:r>
        <w:rPr>
          <w:sz w:val="24"/>
          <w:szCs w:val="24"/>
        </w:rPr>
        <w:t xml:space="preserve"> 563 </w:t>
      </w:r>
      <w:proofErr w:type="spellStart"/>
      <w:r>
        <w:rPr>
          <w:sz w:val="24"/>
          <w:szCs w:val="24"/>
        </w:rPr>
        <w:t>maddeler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uygulanacağı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hüküm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altına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alınmıştır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Özellik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genellik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ilişkisi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ancak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aynı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düzeydeki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normlar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arasında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söz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konusu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olabileceğinden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özel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kanunlara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bağlı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şirketlerin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Türk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Ticaret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Kanunu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dışındaki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düzenlemelere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tabi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olması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ancak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özel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hükümlerinin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varlığını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gerektirir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Anonim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şirketlerin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hazırlayacakları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yıllık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faaliyet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raporlarının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içeriğine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uygulanacak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esaslara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ilişkin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somut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düzenlemeler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Türk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Ticaret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Kanunu’nun</w:t>
      </w:r>
      <w:proofErr w:type="spellEnd"/>
      <w:r>
        <w:rPr>
          <w:sz w:val="24"/>
          <w:szCs w:val="24"/>
        </w:rPr>
        <w:t xml:space="preserve"> 516 </w:t>
      </w:r>
      <w:proofErr w:type="spellStart"/>
      <w:r>
        <w:rPr>
          <w:sz w:val="24"/>
          <w:szCs w:val="24"/>
        </w:rPr>
        <w:t>ncı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maddesinde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hüküm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altına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alınmıştır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Söz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konusu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maddeye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dayanılarak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Gümrük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Ticaret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Bakanlığı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tarafından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hazırlanan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“</w:t>
      </w:r>
      <w:proofErr w:type="spellStart"/>
      <w:r>
        <w:rPr>
          <w:i/>
          <w:sz w:val="24"/>
          <w:szCs w:val="24"/>
        </w:rPr>
        <w:t>Şirketlerin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Yıllık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Faaliyet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Raporunun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Asgari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İçeriğinin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Belirlenmesi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Hakkında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Yönetmelik</w:t>
      </w:r>
      <w:proofErr w:type="spellEnd"/>
      <w:r>
        <w:rPr>
          <w:i/>
          <w:sz w:val="24"/>
          <w:szCs w:val="24"/>
        </w:rPr>
        <w:t>”,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ise</w:t>
      </w:r>
      <w:proofErr w:type="spellEnd"/>
      <w:r>
        <w:rPr>
          <w:sz w:val="24"/>
          <w:szCs w:val="24"/>
        </w:rPr>
        <w:t xml:space="preserve"> 28.08.2012 </w:t>
      </w:r>
      <w:proofErr w:type="spellStart"/>
      <w:r>
        <w:rPr>
          <w:sz w:val="24"/>
          <w:szCs w:val="24"/>
        </w:rPr>
        <w:t>tarihinde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yayımlanarak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yürürlüğe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girmiştir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Yönetmeliğin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kapsama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ilişkin</w:t>
      </w:r>
      <w:proofErr w:type="spellEnd"/>
      <w:r>
        <w:rPr>
          <w:sz w:val="24"/>
          <w:szCs w:val="24"/>
        </w:rPr>
        <w:t xml:space="preserve"> 1/III </w:t>
      </w:r>
      <w:proofErr w:type="spellStart"/>
      <w:r>
        <w:rPr>
          <w:sz w:val="24"/>
          <w:szCs w:val="24"/>
        </w:rPr>
        <w:t>maddesi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çerçevesinde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özel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kanunlara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tabi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şirketlere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özel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hükümler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dışında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mezkur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Yönetmelik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hükümlerinin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uygulanacağı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açıkça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ifade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edilmiştir</w:t>
      </w:r>
      <w:proofErr w:type="spellEnd"/>
      <w:r>
        <w:rPr>
          <w:sz w:val="24"/>
          <w:szCs w:val="24"/>
        </w:rPr>
        <w:t>.</w:t>
      </w:r>
      <w:proofErr w:type="gramEnd"/>
    </w:p>
    <w:p w:rsidR="00B06F5F" w:rsidRDefault="00B06F5F" w:rsidP="00B06F5F">
      <w:pPr>
        <w:keepNext/>
        <w:shd w:val="clear" w:color="auto" w:fill="FFFFFF"/>
        <w:jc w:val="both"/>
        <w:outlineLvl w:val="0"/>
        <w:rPr>
          <w:b/>
          <w:sz w:val="24"/>
          <w:szCs w:val="24"/>
        </w:rPr>
      </w:pPr>
    </w:p>
    <w:p w:rsidR="00B06F5F" w:rsidRDefault="00B06F5F" w:rsidP="00B06F5F">
      <w:pPr>
        <w:keepNext/>
        <w:shd w:val="clear" w:color="auto" w:fill="FFFFFF"/>
        <w:ind w:firstLine="708"/>
        <w:jc w:val="both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 xml:space="preserve">5684 </w:t>
      </w:r>
      <w:proofErr w:type="spellStart"/>
      <w:r>
        <w:rPr>
          <w:sz w:val="24"/>
          <w:szCs w:val="24"/>
        </w:rPr>
        <w:t>sayılı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Sigortacılık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Kanunu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kapsamında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sigorta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reasürans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şirketlerinin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yıllık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faaliyet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raporlarının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içeriğine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esasına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ilişkin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doğrudan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somut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herhangi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hükme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verilmemiş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konunun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ilgili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yönetmelik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hükümleri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kapsamında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alınacağı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ifade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edilerek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kapsamda</w:t>
      </w:r>
      <w:proofErr w:type="spellEnd"/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“</w:t>
      </w:r>
      <w:proofErr w:type="spellStart"/>
      <w:r>
        <w:rPr>
          <w:i/>
          <w:sz w:val="24"/>
          <w:szCs w:val="24"/>
        </w:rPr>
        <w:t>Sigorta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ve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Reasürans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ile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Emeklilik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Şirketlerinin</w:t>
      </w:r>
      <w:proofErr w:type="spellEnd"/>
      <w:r>
        <w:rPr>
          <w:i/>
          <w:sz w:val="24"/>
          <w:szCs w:val="24"/>
        </w:rPr>
        <w:t xml:space="preserve"> Mali </w:t>
      </w:r>
      <w:proofErr w:type="spellStart"/>
      <w:r>
        <w:rPr>
          <w:i/>
          <w:sz w:val="24"/>
          <w:szCs w:val="24"/>
        </w:rPr>
        <w:t>Bünyelerine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İlişkin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Yönetmelik</w:t>
      </w:r>
      <w:proofErr w:type="spellEnd"/>
      <w:r>
        <w:rPr>
          <w:i/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ile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“</w:t>
      </w:r>
      <w:proofErr w:type="spellStart"/>
      <w:r>
        <w:rPr>
          <w:i/>
          <w:sz w:val="24"/>
          <w:szCs w:val="24"/>
        </w:rPr>
        <w:t>Sigorta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ve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Reasürans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Şirketleri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ile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Emeklilik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Şirketlerinin</w:t>
      </w:r>
      <w:proofErr w:type="spellEnd"/>
      <w:r>
        <w:rPr>
          <w:i/>
          <w:sz w:val="24"/>
          <w:szCs w:val="24"/>
        </w:rPr>
        <w:t xml:space="preserve"> Finansal </w:t>
      </w:r>
      <w:proofErr w:type="spellStart"/>
      <w:r>
        <w:rPr>
          <w:i/>
          <w:sz w:val="24"/>
          <w:szCs w:val="24"/>
        </w:rPr>
        <w:t>Raporlamaları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Hakkında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Yönetmelik</w:t>
      </w:r>
      <w:proofErr w:type="spellEnd"/>
      <w:r>
        <w:rPr>
          <w:i/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yayımlanmıştır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Bir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yönetmelik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hükmünün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kanuna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nazaran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özel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hüküm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niteliği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teşkil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etmesi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mümkün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olmadığından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sigortacılık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mevzuatındaki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konuya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ilişkin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ilgili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yönetmelik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hükümlerinin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Türk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Ticaret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Kanunu’na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nazaran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özel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hüküm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olarak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değerlendirilmesi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olası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görülmemektedir</w:t>
      </w:r>
      <w:proofErr w:type="spellEnd"/>
      <w:r>
        <w:rPr>
          <w:sz w:val="24"/>
          <w:szCs w:val="24"/>
        </w:rPr>
        <w:t>.</w:t>
      </w:r>
      <w:proofErr w:type="gramEnd"/>
    </w:p>
    <w:p w:rsidR="00B06F5F" w:rsidRDefault="00B06F5F" w:rsidP="00B06F5F">
      <w:pPr>
        <w:keepNext/>
        <w:shd w:val="clear" w:color="auto" w:fill="FFFFFF"/>
        <w:ind w:firstLine="708"/>
        <w:jc w:val="both"/>
        <w:outlineLvl w:val="0"/>
        <w:rPr>
          <w:b/>
          <w:sz w:val="24"/>
          <w:szCs w:val="24"/>
        </w:rPr>
      </w:pPr>
    </w:p>
    <w:p w:rsidR="00B06F5F" w:rsidRDefault="00B06F5F" w:rsidP="00B06F5F">
      <w:pPr>
        <w:keepNext/>
        <w:shd w:val="clear" w:color="auto" w:fill="FFFFFF"/>
        <w:ind w:firstLine="708"/>
        <w:jc w:val="both"/>
        <w:outlineLvl w:val="0"/>
        <w:rPr>
          <w:bCs/>
          <w:kern w:val="36"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Sigortacılık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Kanunu’nda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konuya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ilişkin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açık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hüküm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olmadığı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dikkate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alınarak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Türk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Ticaret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Kanunu’nun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yasal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hükümleri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hükümleri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açıklayıcı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mahiyetteki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ikincil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düzenlemeleri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sigorta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reasürans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şirketleri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açısından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öncelik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edecektir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yandan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sigortacılık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mevzuatındaki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ikincil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düzenlemelerde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yer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alan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hükümlerin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Türk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Ticaret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Kanunu’nun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öngördüğü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genel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esaslar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Türk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Ticaret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Kanunu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çerçevesinde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hazırlanan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ilgili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düzenlemelere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aykırılık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teşkil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etmemesi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koşuluyla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tamamlayıcı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olarak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uygulanması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dahilindedir</w:t>
      </w:r>
      <w:proofErr w:type="spellEnd"/>
      <w:r>
        <w:rPr>
          <w:sz w:val="24"/>
          <w:szCs w:val="24"/>
        </w:rPr>
        <w:t>.</w:t>
      </w:r>
    </w:p>
    <w:p w:rsidR="00B06F5F" w:rsidRDefault="00B06F5F" w:rsidP="00B06F5F">
      <w:pPr>
        <w:ind w:firstLine="708"/>
        <w:jc w:val="both"/>
        <w:rPr>
          <w:sz w:val="24"/>
          <w:szCs w:val="24"/>
        </w:rPr>
      </w:pPr>
    </w:p>
    <w:p w:rsidR="00B06F5F" w:rsidRDefault="00B06F5F" w:rsidP="00B06F5F">
      <w:pPr>
        <w:tabs>
          <w:tab w:val="left" w:pos="1980"/>
        </w:tabs>
        <w:jc w:val="both"/>
        <w:rPr>
          <w:sz w:val="24"/>
          <w:lang w:val="tr-TR"/>
        </w:rPr>
      </w:pPr>
    </w:p>
    <w:p w:rsidR="00B06F5F" w:rsidRDefault="00B06F5F" w:rsidP="00B06F5F">
      <w:pPr>
        <w:rPr>
          <w:bCs/>
          <w:kern w:val="36"/>
          <w:sz w:val="24"/>
          <w:szCs w:val="24"/>
        </w:rPr>
      </w:pPr>
    </w:p>
    <w:p w:rsidR="00B06F5F" w:rsidRDefault="00B06F5F" w:rsidP="00B06F5F">
      <w:pPr>
        <w:rPr>
          <w:sz w:val="24"/>
          <w:lang w:val="tr-TR"/>
        </w:rPr>
      </w:pPr>
    </w:p>
    <w:p w:rsidR="00083873" w:rsidRDefault="00083873">
      <w:bookmarkStart w:id="0" w:name="_GoBack"/>
      <w:bookmarkEnd w:id="0"/>
    </w:p>
    <w:sectPr w:rsidR="00083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F5F"/>
    <w:rsid w:val="00083873"/>
    <w:rsid w:val="00B0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F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F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4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2247</Characters>
  <Application>Microsoft Office Word</Application>
  <DocSecurity>0</DocSecurity>
  <Lines>18</Lines>
  <Paragraphs>5</Paragraphs>
  <ScaleCrop>false</ScaleCrop>
  <Company>Hazine Müsteşarlığı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 DEMIRCI</dc:creator>
  <cp:keywords/>
  <dc:description/>
  <cp:lastModifiedBy>SERDAR DEMIRCI</cp:lastModifiedBy>
  <cp:revision>1</cp:revision>
  <dcterms:created xsi:type="dcterms:W3CDTF">2013-03-29T09:49:00Z</dcterms:created>
  <dcterms:modified xsi:type="dcterms:W3CDTF">2013-03-29T09:49:00Z</dcterms:modified>
</cp:coreProperties>
</file>